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 </w:t>
      </w:r>
      <w:r>
        <w:t xml:space="preserve"> </w:t>
      </w:r>
      <w:r>
        <w:t xml:space="preserve"> </w:t>
      </w:r>
    </w:p>
    <w:p>
      <w:pPr>
        <w:pStyle w:val="Compact"/>
      </w:pPr>
      <w:r>
        <w:t xml:space="preserve">Afslutning</w:t>
      </w:r>
    </w:p>
    <w:bookmarkStart w:id="21" w:name="afslutning"/>
    <w:p>
      <w:pPr>
        <w:pStyle w:val="Heading1"/>
      </w:pPr>
      <w:r>
        <w:t xml:space="preserve">Afslutning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Historie 8</w:t>
      </w:r>
    </w:p>
    <w:p>
      <w:pPr>
        <w:pStyle w:val="Compact"/>
      </w:pPr>
      <w:r>
        <w:t xml:space="preserve">Energikrisen i Danmark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</w:pPr>
      <w:r>
        <w:t xml:space="preserve">Mål</w:t>
      </w:r>
    </w:p>
    <w:p>
      <w:pPr>
        <w:pStyle w:val="Compact"/>
        <w:numPr>
          <w:numId w:val="2"/>
          <w:ilvl w:val="0"/>
        </w:numPr>
      </w:pPr>
      <w:r>
        <w:t xml:space="preserve">Eleven kan sætte begivenheders forudsætninger, forløb og følger i kronologisk sammenhæng</w:t>
      </w:r>
    </w:p>
    <w:p>
      <w:pPr>
        <w:pStyle w:val="Compact"/>
        <w:numPr>
          <w:numId w:val="2"/>
          <w:ilvl w:val="0"/>
        </w:numPr>
      </w:pPr>
      <w:r>
        <w:t xml:space="preserve">Eleven kan forklare hvorfor historisk udvikling i perioder var præget af kontinuitet og i andre af brud</w:t>
      </w:r>
    </w:p>
    <w:p>
      <w:pPr>
        <w:pStyle w:val="Compact"/>
        <w:numPr>
          <w:numId w:val="2"/>
          <w:ilvl w:val="0"/>
        </w:numPr>
      </w:pPr>
      <w:r>
        <w:t xml:space="preserve">Eleven kan formulere historiske problemstillinger</w:t>
      </w:r>
    </w:p>
    <w:p>
      <w:pPr>
        <w:pStyle w:val="Compact"/>
        <w:numPr>
          <w:numId w:val="2"/>
          <w:ilvl w:val="0"/>
        </w:numPr>
      </w:pPr>
      <w:r>
        <w:t xml:space="preserve">Eleven har viden om kildekritiske begreber</w:t>
      </w:r>
    </w:p>
    <w:p>
      <w:pPr>
        <w:pStyle w:val="Compact"/>
        <w:numPr>
          <w:numId w:val="2"/>
          <w:ilvl w:val="0"/>
        </w:numPr>
      </w:pPr>
      <w:r>
        <w:t xml:space="preserve">Eleven kan forklare valget af kildekritiske begreber til analyse af historiske spor, medier og udtryksformer</w:t>
      </w:r>
    </w:p>
    <w:bookmarkStart w:id="23" w:name="kanon"/>
    <w:p>
      <w:pPr>
        <w:pStyle w:val="Heading3"/>
      </w:pPr>
      <w:r>
        <w:t xml:space="preserve">Kanon:</w:t>
      </w:r>
    </w:p>
    <w:bookmarkEnd w:id="23"/>
    <w:p>
      <w:pPr>
        <w:pStyle w:val="Compact"/>
        <w:numPr>
          <w:numId w:val="3"/>
          <w:ilvl w:val="0"/>
        </w:numPr>
      </w:pPr>
      <w:r>
        <w:t xml:space="preserve">Murens fald</w:t>
      </w:r>
    </w:p>
    <w:bookmarkStart w:id="24" w:name="murens-fald-og-sovjetunionens-sammenbrud"/>
    <w:p>
      <w:pPr>
        <w:pStyle w:val="Heading1"/>
      </w:pPr>
      <w:r>
        <w:t xml:space="preserve">Murens fald og Sovjetunionens sammenbrud</w:t>
      </w:r>
    </w:p>
    <w:bookmarkEnd w:id="24"/>
    <w:p/>
    <w:p>
      <w:pPr>
        <w:pStyle w:val="Compact"/>
        <w:numPr>
          <w:numId w:val="4"/>
          <w:ilvl w:val="0"/>
        </w:numPr>
      </w:pPr>
      <w:r>
        <w:t xml:space="preserve">Læs s.223-230 i Historie 8</w:t>
      </w:r>
    </w:p>
    <w:p>
      <w:pPr>
        <w:pStyle w:val="Compact"/>
        <w:numPr>
          <w:numId w:val="4"/>
          <w:ilvl w:val="0"/>
        </w:numPr>
      </w:pPr>
      <w:r>
        <w:t xml:space="preserve">Arbejd med spørgsmålene side 231</w:t>
      </w:r>
    </w:p>
    <w:p>
      <w:pPr>
        <w:pStyle w:val="Compact"/>
        <w:numPr>
          <w:numId w:val="4"/>
          <w:ilvl w:val="0"/>
        </w:numPr>
      </w:pPr>
      <w:r>
        <w:t xml:space="preserve">Læs side 232-233</w:t>
      </w:r>
    </w:p>
    <w:bookmarkStart w:id="25" w:name="lektier"/>
    <w:p>
      <w:pPr>
        <w:pStyle w:val="Heading1"/>
      </w:pPr>
      <w:r>
        <w:t xml:space="preserve">Lektier</w:t>
      </w:r>
    </w:p>
    <w:bookmarkEnd w:id="25"/>
    <w:p>
      <w:pPr>
        <w:pStyle w:val="Compact"/>
      </w:pPr>
      <w:r>
        <w:t xml:space="preserve">Læs s.223-230 og 232-233 i Historie 8</w:t>
      </w:r>
    </w:p>
    <w:p>
      <w:pPr>
        <w:pStyle w:val="Compact"/>
      </w:pPr>
    </w:p>
    <w:bookmarkStart w:id="27" w:name="test"/>
    <w:p>
      <w:pPr>
        <w:pStyle w:val="Heading1"/>
      </w:pPr>
      <w:hyperlink r:id="rId26">
        <w:r>
          <w:rPr>
            <w:rStyle w:val="Link"/>
          </w:rPr>
          <w:t xml:space="preserve">Test</w:t>
        </w:r>
      </w:hyperlink>
    </w:p>
    <w:bookmarkEnd w:id="27"/>
    <w:bookmarkStart w:id="28" w:name="copyright-12"/>
    <w:p>
      <w:pPr>
        <w:pStyle w:val="Heading1"/>
      </w:pPr>
      <w:r>
        <w:t xml:space="preserve">Copyright 1/2</w:t>
      </w:r>
    </w:p>
    <w:bookmarkEnd w:id="28"/>
    <w:p>
      <w:r>
        <w:t xml:space="preserve">© 2016</w:t>
      </w:r>
      <w:r>
        <w:t xml:space="preserve"> </w:t>
      </w:r>
      <w:hyperlink r:id="rId29">
        <w:r>
          <w:rPr>
            <w:rStyle w:val="Link"/>
          </w:rPr>
          <w:t xml:space="preserve">Mikkel Kristiansen</w:t>
        </w:r>
      </w:hyperlink>
      <w:r>
        <w:t xml:space="preserve">.</w:t>
      </w:r>
    </w:p>
    <w:p>
      <w:r>
        <w:t xml:space="preserve">Dette værk er under en Creative Commons Navngivelse 4.0 International licens. Besøg</w:t>
      </w:r>
      <w:r>
        <w:t xml:space="preserve"> </w:t>
      </w:r>
      <w:hyperlink r:id="rId30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Mauer nahe Reichstag</w:t>
      </w:r>
      <w:r>
        <w:t xml:space="preserve">" by Superikonoskop 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bookmarkStart w:id="31" w:name="copyright-22"/>
    <w:p>
      <w:pPr>
        <w:pStyle w:val="Heading1"/>
      </w:pPr>
      <w:r>
        <w:t xml:space="preserve">Copyright 2/2</w:t>
      </w:r>
    </w:p>
    <w:bookmarkEnd w:id="31"/>
    <w:p>
      <w:pPr>
        <w:pStyle w:val="Compact"/>
      </w:pPr>
      <w:r>
        <w:t xml:space="preserve">"</w:t>
      </w:r>
      <w:r>
        <w:t xml:space="preserve">Bundesarchiv Bild 183-1990-0722-404, Berlin, "Mauerspecht"</w:t>
      </w:r>
      <w:r>
        <w:t xml:space="preserve">" by Bundesarchiv, Bild 183-1990-0722-404 / CC-BY-SA. Licensed under</w:t>
      </w:r>
      <w:r>
        <w:t xml:space="preserve"> </w:t>
      </w:r>
      <w:r>
        <w:t xml:space="preserve">CC BY-SA 3.0 de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4801d11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103731e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://creativecommons.org/licenses/by/4.0/" TargetMode="External" /><Relationship Type="http://schemas.openxmlformats.org/officeDocument/2006/relationships/hyperlink" Id="rId29" Target="http://www.mkuv.dk" TargetMode="External" /><Relationship Type="http://schemas.openxmlformats.org/officeDocument/2006/relationships/hyperlink" Id="rId26" Target="https://goo.gl/forms/rfLYwJJ0GDO2aL65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://creativecommons.org/licenses/by/4.0/" TargetMode="External" /><Relationship Type="http://schemas.openxmlformats.org/officeDocument/2006/relationships/hyperlink" Id="rId29" Target="http://www.mkuv.dk" TargetMode="External" /><Relationship Type="http://schemas.openxmlformats.org/officeDocument/2006/relationships/hyperlink" Id="rId26" Target="https://goo.gl/forms/rfLYwJJ0GDO2aL65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