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 </w:t>
      </w:r>
      <w:r>
        <w:t xml:space="preserve"> </w:t>
      </w:r>
    </w:p>
    <w:p>
      <w:pPr>
        <w:pStyle w:val="Compact"/>
      </w:pPr>
      <w:r>
        <w:t xml:space="preserve">Konflikter</w:t>
      </w:r>
    </w:p>
    <w:bookmarkStart w:id="21" w:name="konflikter"/>
    <w:p>
      <w:pPr>
        <w:pStyle w:val="Heading1"/>
      </w:pPr>
      <w:r>
        <w:t xml:space="preserve">Konflikter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Frygten for atomkrig</w:t>
      </w:r>
    </w:p>
    <w:p>
      <w:pPr>
        <w:pStyle w:val="Compact"/>
      </w:pPr>
      <w:r>
        <w:t xml:space="preserve">Cuba krisen</w:t>
      </w:r>
    </w:p>
    <w:p>
      <w:pPr>
        <w:pStyle w:val="Compact"/>
      </w:pPr>
      <w:r>
        <w:t xml:space="preserve">Arbejde med kilderne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give eksempler på, at en periodes fremherskende værdier og holdninger kan forklare afgørende begivenheder og samfundsforandringer</w:t>
      </w:r>
    </w:p>
    <w:p>
      <w:pPr>
        <w:pStyle w:val="Compact"/>
        <w:numPr>
          <w:numId w:val="2"/>
          <w:ilvl w:val="0"/>
        </w:numPr>
      </w:pPr>
      <w:r>
        <w:t xml:space="preserve">kunne beskrive forskellige tidsaldres former for magtanvendelse og diskutere begrundelser og konsekvenser</w:t>
      </w:r>
    </w:p>
    <w:p>
      <w:pPr>
        <w:pStyle w:val="Compact"/>
        <w:numPr>
          <w:numId w:val="2"/>
          <w:ilvl w:val="0"/>
        </w:numPr>
      </w:pPr>
      <w:r>
        <w:t xml:space="preserve">formulere historiske problemstillinger og præsentere løsningsforslag hertil</w:t>
      </w:r>
    </w:p>
    <w:bookmarkStart w:id="23" w:name="frygten-for-atomkrigen"/>
    <w:p>
      <w:pPr>
        <w:pStyle w:val="Heading1"/>
      </w:pPr>
      <w:r>
        <w:t xml:space="preserve">Frygten for atomkrigen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affødte angst i befolkningen</w:t>
      </w:r>
    </w:p>
    <w:p>
      <w:pPr>
        <w:pStyle w:val="Compact"/>
        <w:numPr>
          <w:numId w:val="3"/>
          <w:ilvl w:val="0"/>
        </w:numPr>
      </w:pPr>
      <w:r>
        <w:t xml:space="preserve">mange private beskyttelsesrum</w:t>
      </w:r>
      <w:r>
        <w:t xml:space="preserve"> </w:t>
      </w:r>
    </w:p>
    <w:bookmarkStart w:id="25" w:name="cuba-krisen"/>
    <w:p>
      <w:pPr>
        <w:pStyle w:val="Heading1"/>
      </w:pPr>
      <w:hyperlink r:id="rId24">
        <w:r>
          <w:rPr>
            <w:rStyle w:val="Link"/>
          </w:rPr>
          <w:t xml:space="preserve">Cuba krisen</w:t>
        </w:r>
      </w:hyperlink>
    </w:p>
    <w:bookmarkEnd w:id="25"/>
    <w:p>
      <w:pPr>
        <w:pStyle w:val="Compact"/>
      </w:pPr>
      <w:r>
        <w:t xml:space="preserve">viacfu: Den Kolde Krig (10)</w:t>
      </w:r>
    </w:p>
    <w:bookmarkStart w:id="26" w:name="arbejd-med-kilderne-side-214"/>
    <w:p>
      <w:pPr>
        <w:pStyle w:val="Heading1"/>
      </w:pPr>
      <w:r>
        <w:t xml:space="preserve">Arbejd med kilderne side 214</w:t>
      </w:r>
    </w:p>
    <w:bookmarkEnd w:id="26"/>
    <w:bookmarkStart w:id="27" w:name="lektier"/>
    <w:p>
      <w:pPr>
        <w:pStyle w:val="Heading1"/>
      </w:pPr>
      <w:r>
        <w:t xml:space="preserve">Lektier</w:t>
      </w:r>
    </w:p>
    <w:bookmarkEnd w:id="27"/>
    <w:p>
      <w:pPr>
        <w:pStyle w:val="Compact"/>
      </w:pPr>
      <w:r>
        <w:t xml:space="preserve">Læs 223-231</w:t>
      </w:r>
    </w:p>
    <w:p>
      <w:pPr>
        <w:pStyle w:val="Compact"/>
      </w:pPr>
    </w:p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Dette værk er licenseret under en</w:t>
      </w:r>
      <w:r>
        <w:t xml:space="preserve"> </w:t>
      </w:r>
      <w:hyperlink r:id="rId29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CubaSites1962</w:t>
      </w:r>
      <w:r>
        <w:t xml:space="preserve">" by United States Department of Defense graphic in the John F. Kennedy Presidential Library and Museum, Boston. -</w:t>
      </w:r>
      <w:r>
        <w:t xml:space="preserve"> </w:t>
      </w:r>
      <w:r>
        <w:t xml:space="preserve">http://www.jfklibrary.org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b3281ab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7afa287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-sa/2.5/dk/" TargetMode="External" /><Relationship Type="http://schemas.openxmlformats.org/officeDocument/2006/relationships/hyperlink" Id="rId24" Target="http://viacfu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-sa/2.5/dk/" TargetMode="External" /><Relationship Type="http://schemas.openxmlformats.org/officeDocument/2006/relationships/hyperlink" Id="rId24" Target="http://viacfu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