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Den levende jord</w:t>
      </w:r>
    </w:p>
    <w:bookmarkStart w:id="21" w:name="den-levende-jord"/>
    <w:p>
      <w:pPr>
        <w:pStyle w:val="Heading1"/>
      </w:pPr>
      <w:r>
        <w:t xml:space="preserve">Den levende jord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Jordens opbygning</w:t>
      </w:r>
    </w:p>
    <w:p>
      <w:pPr>
        <w:pStyle w:val="Compact"/>
      </w:pPr>
      <w:r>
        <w:t xml:space="preserve">Pladetektonik</w:t>
      </w:r>
    </w:p>
    <w:p>
      <w:pPr>
        <w:pStyle w:val="Compact"/>
      </w:pPr>
      <w:r>
        <w:t xml:space="preserve">Jordens historie</w:t>
      </w:r>
    </w:p>
    <w:p>
      <w:pPr>
        <w:pStyle w:val="Compact"/>
      </w:pPr>
      <w:r>
        <w:t xml:space="preserve">Guirlander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har viden om enkle principper i pladetektonikken</w:t>
      </w:r>
    </w:p>
    <w:p>
      <w:pPr>
        <w:pStyle w:val="Compact"/>
        <w:numPr>
          <w:numId w:val="2"/>
          <w:ilvl w:val="0"/>
        </w:numPr>
      </w:pPr>
      <w:r>
        <w:t xml:space="preserve">Eleven kan med Eleven har viden enkle modeller om hovedtræk af fortælle om livets udvikling</w:t>
      </w:r>
    </w:p>
    <w:p>
      <w:pPr>
        <w:pStyle w:val="Compact"/>
        <w:numPr>
          <w:numId w:val="2"/>
          <w:ilvl w:val="0"/>
        </w:numPr>
      </w:pPr>
      <w:r>
        <w:t xml:space="preserve">Eleven har viden om muligheder og begrænsninger ved modeller</w:t>
      </w:r>
    </w:p>
    <w:p>
      <w:pPr>
        <w:pStyle w:val="Compact"/>
        <w:numPr>
          <w:numId w:val="2"/>
          <w:ilvl w:val="0"/>
        </w:numPr>
      </w:pPr>
      <w:r>
        <w:t xml:space="preserve">Eleven har viden om enkle principper i pladetektonikken</w:t>
      </w:r>
    </w:p>
    <w:p>
      <w:pPr>
        <w:pStyle w:val="Compact"/>
        <w:numPr>
          <w:numId w:val="2"/>
          <w:ilvl w:val="0"/>
        </w:numPr>
      </w:pPr>
      <w:r>
        <w:t xml:space="preserve">Eleven kan med modeller fortælle om jordskælv og vulkanudbrud, herunder med digitale modeller</w:t>
      </w:r>
    </w:p>
    <w:bookmarkStart w:id="23" w:name="jordens-opbygning"/>
    <w:p>
      <w:pPr>
        <w:pStyle w:val="Heading1"/>
      </w:pPr>
      <w:r>
        <w:t xml:space="preserve">Jordens opbygning</w:t>
      </w:r>
    </w:p>
    <w:bookmarkEnd w:id="23"/>
    <w:p/>
    <w:bookmarkStart w:id="24" w:name="pladetektonik"/>
    <w:p>
      <w:pPr>
        <w:pStyle w:val="Heading1"/>
      </w:pPr>
      <w:r>
        <w:t xml:space="preserve">Pladetektonik</w:t>
      </w:r>
    </w:p>
    <w:bookmarkEnd w:id="24"/>
    <w:p>
      <w:pPr>
        <w:pStyle w:val="Compact"/>
      </w:pP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Periode</w:t>
      </w:r>
    </w:p>
    <w:p>
      <w:pPr>
        <w:pStyle w:val="Compact"/>
      </w:pPr>
      <w:r>
        <w:t xml:space="preserve">Mill. år siden</w:t>
      </w:r>
    </w:p>
    <w:p>
      <w:pPr>
        <w:pStyle w:val="Compact"/>
      </w:pPr>
      <w:r>
        <w:t xml:space="preserve">Geologi</w:t>
      </w:r>
    </w:p>
    <w:p>
      <w:pPr>
        <w:pStyle w:val="Compact"/>
      </w:pPr>
      <w:r>
        <w:t xml:space="preserve">Biologi</w:t>
      </w:r>
    </w:p>
    <w:p>
      <w:pPr>
        <w:pStyle w:val="Compact"/>
      </w:pPr>
      <w:r>
        <w:t xml:space="preserve">Kvartær</w:t>
      </w:r>
    </w:p>
    <w:p>
      <w:pPr>
        <w:pStyle w:val="Compact"/>
      </w:pPr>
      <w:r>
        <w:t xml:space="preserve">2</w:t>
      </w:r>
    </w:p>
    <w:p>
      <w:pPr>
        <w:pStyle w:val="Compact"/>
      </w:pPr>
      <w:r>
        <w:t xml:space="preserve">Istider</w:t>
      </w:r>
    </w:p>
    <w:p>
      <w:pPr>
        <w:pStyle w:val="Compact"/>
      </w:pPr>
      <w:r>
        <w:t xml:space="preserve">Mennesker</w:t>
      </w:r>
    </w:p>
    <w:p>
      <w:pPr>
        <w:pStyle w:val="Compact"/>
      </w:pPr>
      <w:r>
        <w:t xml:space="preserve">Tertiær</w:t>
      </w:r>
    </w:p>
    <w:p>
      <w:pPr>
        <w:pStyle w:val="Compact"/>
      </w:pPr>
      <w:r>
        <w:t xml:space="preserve">66</w:t>
      </w:r>
    </w:p>
    <w:p>
      <w:pPr>
        <w:pStyle w:val="Compact"/>
      </w:pPr>
      <w:r>
        <w:t xml:space="preserve">Alperne dannes</w:t>
      </w:r>
    </w:p>
    <w:p>
      <w:pPr>
        <w:pStyle w:val="Compact"/>
      </w:pPr>
      <w:r>
        <w:t xml:space="preserve">Pattedyrenes storhedstid starter</w:t>
      </w:r>
    </w:p>
    <w:p>
      <w:pPr>
        <w:pStyle w:val="Compact"/>
      </w:pPr>
      <w:r>
        <w:t xml:space="preserve">Kridt</w:t>
      </w:r>
    </w:p>
    <w:p>
      <w:pPr>
        <w:pStyle w:val="Compact"/>
      </w:pPr>
      <w:r>
        <w:t xml:space="preserve">140</w:t>
      </w:r>
    </w:p>
    <w:p>
      <w:pPr>
        <w:pStyle w:val="Compact"/>
      </w:pPr>
      <w:r>
        <w:t xml:space="preserve">Olie dannes</w:t>
      </w:r>
    </w:p>
    <w:p>
      <w:pPr>
        <w:pStyle w:val="Compact"/>
      </w:pPr>
      <w:r>
        <w:t xml:space="preserve">Dinosaurer sidste periode. Blomsterplanter opstår</w:t>
      </w:r>
    </w:p>
    <w:p>
      <w:pPr>
        <w:pStyle w:val="Compact"/>
      </w:pPr>
      <w:r>
        <w:t xml:space="preserve">Jura</w:t>
      </w:r>
    </w:p>
    <w:p>
      <w:pPr>
        <w:pStyle w:val="Compact"/>
      </w:pPr>
      <w:r>
        <w:t xml:space="preserve">210</w:t>
      </w:r>
    </w:p>
    <w:p>
      <w:pPr>
        <w:pStyle w:val="Compact"/>
      </w:pPr>
      <w:r>
        <w:t xml:space="preserve">Pangæa bryder op</w:t>
      </w:r>
    </w:p>
    <w:p>
      <w:pPr>
        <w:pStyle w:val="Compact"/>
      </w:pPr>
      <w:r>
        <w:t xml:space="preserve">Skove af nåletræer og bregner. De første fugle.</w:t>
      </w:r>
    </w:p>
    <w:p>
      <w:pPr>
        <w:pStyle w:val="Compact"/>
      </w:pPr>
      <w:r>
        <w:t xml:space="preserve">Trias</w:t>
      </w:r>
    </w:p>
    <w:p>
      <w:pPr>
        <w:pStyle w:val="Compact"/>
      </w:pPr>
      <w:r>
        <w:t xml:space="preserve">250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De første pattedyr</w:t>
      </w:r>
    </w:p>
    <w:p>
      <w:pPr>
        <w:pStyle w:val="Compact"/>
      </w:pPr>
      <w:r>
        <w:t xml:space="preserve">Perm</w:t>
      </w:r>
    </w:p>
    <w:p>
      <w:pPr>
        <w:pStyle w:val="Compact"/>
      </w:pPr>
      <w:r>
        <w:t xml:space="preserve">290</w:t>
      </w:r>
    </w:p>
    <w:p>
      <w:pPr>
        <w:pStyle w:val="Compact"/>
      </w:pPr>
      <w:r>
        <w:t xml:space="preserve">Hercynske foldebjerge i Spanien og Frankrig</w:t>
      </w:r>
    </w:p>
    <w:p>
      <w:pPr>
        <w:pStyle w:val="Compact"/>
      </w:pPr>
      <w:r>
        <w:t xml:space="preserve">Krybdyr</w:t>
      </w:r>
    </w:p>
    <w:p>
      <w:pPr>
        <w:pStyle w:val="Compact"/>
      </w:pPr>
      <w:r>
        <w:t xml:space="preserve">Kul</w:t>
      </w:r>
    </w:p>
    <w:p>
      <w:pPr>
        <w:pStyle w:val="Compact"/>
      </w:pPr>
      <w:r>
        <w:t xml:space="preserve">360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Padder</w:t>
      </w:r>
    </w:p>
    <w:p>
      <w:pPr>
        <w:pStyle w:val="Compact"/>
      </w:pPr>
      <w:r>
        <w:t xml:space="preserve">Devon</w:t>
      </w:r>
    </w:p>
    <w:p>
      <w:pPr>
        <w:pStyle w:val="Compact"/>
      </w:pPr>
      <w:r>
        <w:t xml:space="preserve">410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Insekterne går i land</w:t>
      </w:r>
    </w:p>
    <w:p>
      <w:pPr>
        <w:pStyle w:val="Compact"/>
      </w:pPr>
      <w:r>
        <w:t xml:space="preserve">Silur</w:t>
      </w:r>
    </w:p>
    <w:p>
      <w:pPr>
        <w:pStyle w:val="Compact"/>
      </w:pPr>
      <w:r>
        <w:t xml:space="preserve">440</w:t>
      </w:r>
    </w:p>
    <w:p>
      <w:pPr>
        <w:pStyle w:val="Compact"/>
      </w:pPr>
      <w:r>
        <w:t xml:space="preserve">Kaledoniske foldebjerge i Norge, Skotland og Irland</w:t>
      </w:r>
    </w:p>
    <w:p>
      <w:pPr>
        <w:pStyle w:val="Compact"/>
      </w:pPr>
      <w:r>
        <w:t xml:space="preserve">Første landplanter</w:t>
      </w:r>
    </w:p>
    <w:p>
      <w:pPr>
        <w:pStyle w:val="Compact"/>
      </w:pPr>
      <w:r>
        <w:t xml:space="preserve">Ordovicium</w:t>
      </w:r>
    </w:p>
    <w:p>
      <w:pPr>
        <w:pStyle w:val="Compact"/>
      </w:pPr>
      <w:r>
        <w:t xml:space="preserve">500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Første fisk</w:t>
      </w:r>
    </w:p>
    <w:p>
      <w:pPr>
        <w:pStyle w:val="Compact"/>
      </w:pPr>
      <w:r>
        <w:t xml:space="preserve">Kambrium</w:t>
      </w:r>
    </w:p>
    <w:p>
      <w:pPr>
        <w:pStyle w:val="Compact"/>
      </w:pPr>
      <w:r>
        <w:t xml:space="preserve">590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Hvirvelløse dyr</w:t>
      </w:r>
    </w:p>
    <w:p>
      <w:pPr>
        <w:pStyle w:val="Compact"/>
      </w:pPr>
      <w:r>
        <w:t xml:space="preserve">Præ-kambrium</w:t>
      </w:r>
    </w:p>
    <w:p>
      <w:pPr>
        <w:pStyle w:val="Compact"/>
      </w:pPr>
      <w:r>
        <w:t xml:space="preserve">4600</w:t>
      </w:r>
    </w:p>
    <w:p>
      <w:pPr>
        <w:pStyle w:val="Compact"/>
      </w:pPr>
      <w:r>
        <w:t xml:space="preserve">2,5 mia. år: Det meste af landjorden dannet.</w:t>
      </w:r>
    </w:p>
    <w:p>
      <w:pPr>
        <w:pStyle w:val="Compact"/>
      </w:pPr>
      <w:r>
        <w:t xml:space="preserve">3,6 mia. år: Livet opstår</w:t>
      </w:r>
    </w:p>
    <w:bookmarkStart w:id="25" w:name="guirlande-aktivitetsark-2-og-3"/>
    <w:p>
      <w:pPr>
        <w:pStyle w:val="Heading1"/>
      </w:pPr>
      <w:r>
        <w:t xml:space="preserve">Guirlande</w:t>
      </w:r>
      <w:r>
        <w:t xml:space="preserve"> </w:t>
      </w:r>
      <w:r>
        <w:t xml:space="preserve"> </w:t>
      </w:r>
      <w:r>
        <w:t xml:space="preserve">aktivitetsark 2 og 3</w:t>
      </w:r>
    </w:p>
    <w:bookmarkEnd w:id="25"/>
    <w:bookmarkStart w:id="26" w:name="copyright-13"/>
    <w:p>
      <w:pPr>
        <w:pStyle w:val="Heading1"/>
      </w:pPr>
      <w:r>
        <w:t xml:space="preserve">Copyright 1/3</w:t>
      </w:r>
    </w:p>
    <w:bookmarkEnd w:id="26"/>
    <w:p>
      <w:r>
        <w:t xml:space="preserve">Dette værk er licenseret under en</w:t>
      </w:r>
      <w:r>
        <w:t xml:space="preserve"> </w:t>
      </w:r>
      <w:hyperlink r:id="rId27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Geological time spiral</w:t>
      </w:r>
      <w:r>
        <w:t xml:space="preserve">" by</w:t>
      </w:r>
      <w:r>
        <w:t xml:space="preserve"> </w:t>
      </w:r>
      <w:r>
        <w:t xml:space="preserve">United States Geological Survey</w:t>
      </w:r>
      <w:r>
        <w:t xml:space="preserve"> </w:t>
      </w:r>
      <w:r>
        <w:t xml:space="preserve">- Graham, Joseph, Newman, William, and Stacy, John, 2008, The geologic time spiral—A path to the past (ver. 1.1): U.S. Geological Survey General Information Product 58, poster, 1 sheet. Available online at</w:t>
      </w:r>
      <w:r>
        <w:t xml:space="preserve"> </w:t>
      </w:r>
      <w:r>
        <w:t xml:space="preserve">http://pubs.usgs.gov/gip/2008/58/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28" w:name="copyright-23"/>
    <w:p>
      <w:pPr>
        <w:pStyle w:val="Heading1"/>
      </w:pPr>
      <w:r>
        <w:t xml:space="preserve">Copyright 2/3</w:t>
      </w:r>
    </w:p>
    <w:bookmarkEnd w:id="28"/>
    <w:p>
      <w:pPr>
        <w:pStyle w:val="Compact"/>
      </w:pPr>
      <w:r>
        <w:t xml:space="preserve">"</w:t>
      </w:r>
      <w:r>
        <w:t xml:space="preserve">Plates tect2 da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DenglerSW-Stromboli-20040928-1230x800</w:t>
      </w:r>
      <w:r>
        <w:t xml:space="preserve">".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29" w:name="copyright-33"/>
    <w:p>
      <w:pPr>
        <w:pStyle w:val="Heading1"/>
      </w:pPr>
      <w:r>
        <w:t xml:space="preserve">Copyright 3/3</w:t>
      </w:r>
    </w:p>
    <w:bookmarkEnd w:id="29"/>
    <w:p>
      <w:pPr>
        <w:pStyle w:val="Compact"/>
      </w:pPr>
      <w:r>
        <w:t xml:space="preserve">"</w:t>
      </w:r>
      <w:r>
        <w:t xml:space="preserve">Volcano scheme</w:t>
      </w:r>
      <w:r>
        <w:t xml:space="preserve">" by</w:t>
      </w:r>
      <w:r>
        <w:t xml:space="preserve"> </w:t>
      </w:r>
      <w:r>
        <w:t xml:space="preserve">MesserWoland</w:t>
      </w:r>
      <w:r>
        <w:t xml:space="preserve"> </w:t>
      </w:r>
      <w:r>
        <w:t xml:space="preserve">- own work created in Inkscape.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Earth-cutaway-schematic-english</w:t>
      </w:r>
      <w:r>
        <w:t xml:space="preserve">" by derivative work:</w:t>
      </w:r>
      <w:r>
        <w:t xml:space="preserve"> </w:t>
      </w:r>
      <w:r>
        <w:t xml:space="preserve">Anasofiapaixao</w:t>
      </w:r>
      <w:r>
        <w:t xml:space="preserve"> </w:t>
      </w:r>
      <w:r>
        <w:t xml:space="preserve">Earth_internal_structure.png</w:t>
      </w:r>
      <w:r>
        <w:t xml:space="preserve">: USGS -</w:t>
      </w:r>
      <w:r>
        <w:t xml:space="preserve"> </w:t>
      </w:r>
      <w:r>
        <w:t xml:space="preserve">Earth_internal_structure.png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b710e4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865f411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