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de-gode-mod-de-onde-historie-9.klasse"/>
    <w:p>
      <w:pPr>
        <w:pStyle w:val="Heading1"/>
      </w:pPr>
      <w:r>
        <w:t xml:space="preserve">De gode mod de onde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End w:id="21"/>
    <w:bookmarkStart w:id="22" w:name="de-gode-mod-de-onde"/>
    <w:p>
      <w:pPr>
        <w:pStyle w:val="Heading1"/>
      </w:pPr>
      <w:r>
        <w:t xml:space="preserve">De gode mod de onde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Historie 9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Fremadrettet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forklare historiske forandringers påvirkning af samfund lokalt, regionalt og globalt</w:t>
      </w:r>
    </w:p>
    <w:p>
      <w:pPr>
        <w:pStyle w:val="Compact"/>
        <w:numPr>
          <w:numId w:val="2"/>
          <w:ilvl w:val="0"/>
        </w:numPr>
      </w:pPr>
      <w:r>
        <w:t xml:space="preserve">Eleven kan analysere konstruktion og brug af historiske fortællinger med samtids- og fremtidsrettet sigte</w:t>
      </w:r>
    </w:p>
    <w:p>
      <w:pPr>
        <w:pStyle w:val="Compact"/>
        <w:numPr>
          <w:numId w:val="2"/>
          <w:ilvl w:val="0"/>
        </w:numPr>
      </w:pPr>
      <w:r>
        <w:t xml:space="preserve">Eleven kan redegøre for sammenhænge mellem fortidsfortolkninger nutidsforståelser og fremtidsforventninger</w:t>
      </w:r>
    </w:p>
    <w:p>
      <w:pPr>
        <w:pStyle w:val="Compact"/>
        <w:numPr>
          <w:numId w:val="2"/>
          <w:ilvl w:val="0"/>
        </w:numPr>
      </w:pPr>
      <w:r>
        <w:t xml:space="preserve">Eleven kan formulere historiske problemstillinger</w:t>
      </w:r>
    </w:p>
    <w:p>
      <w:pPr>
        <w:pStyle w:val="Compact"/>
        <w:numPr>
          <w:numId w:val="2"/>
          <w:ilvl w:val="0"/>
        </w:numPr>
      </w:pPr>
      <w:r>
        <w:t xml:space="preserve">Eleven kan udarbejde løsningsforslag på historiske problemstillinger med afsæt i udvalgte kilder</w:t>
      </w:r>
    </w:p>
    <w:p>
      <w:pPr>
        <w:pStyle w:val="Compact"/>
        <w:numPr>
          <w:numId w:val="2"/>
          <w:ilvl w:val="0"/>
        </w:numPr>
      </w:pPr>
      <w:r>
        <w:t xml:space="preserve">Eleven kan udlede forklaringer på historiske forhold og forløb ud fra historiske scenarier</w:t>
      </w:r>
    </w:p>
    <w:bookmarkStart w:id="24" w:name="historie-9"/>
    <w:p>
      <w:pPr>
        <w:pStyle w:val="Heading1"/>
      </w:pPr>
      <w:r>
        <w:t xml:space="preserve">Historie 9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læs 172-180</w:t>
      </w:r>
    </w:p>
    <w:p>
      <w:pPr>
        <w:pStyle w:val="Compact"/>
        <w:numPr>
          <w:numId w:val="3"/>
          <w:ilvl w:val="0"/>
        </w:numPr>
      </w:pPr>
      <w:r>
        <w:t xml:space="preserve">Løs opgaverne på side 181</w:t>
      </w:r>
    </w:p>
    <w:bookmarkStart w:id="25" w:name="opsamling"/>
    <w:p>
      <w:pPr>
        <w:pStyle w:val="Heading1"/>
      </w:pPr>
      <w:r>
        <w:t xml:space="preserve">Opsamling</w:t>
      </w:r>
    </w:p>
    <w:bookmarkEnd w:id="25"/>
    <w:bookmarkStart w:id="26" w:name="fremadrettet"/>
    <w:p>
      <w:pPr>
        <w:pStyle w:val="Heading1"/>
      </w:pPr>
      <w:r>
        <w:t xml:space="preserve">Fremadrettet</w:t>
      </w:r>
    </w:p>
    <w:bookmarkEnd w:id="26"/>
    <w:tbl>
      <w:tblPr>
        <w:tblStyle w:val="TableNormal"/>
      </w:tblPr>
      <w:tblGrid>
        <w:gridCol w:w="1100"/>
        <w:gridCol w:w="1210"/>
        <w:gridCol w:w="2860"/>
      </w:tblGrid>
      <w:tr>
        <w:tc>
          <w:p>
            <w:pPr>
              <w:jc w:val="left"/>
            </w:pPr>
            <w:r>
              <w:rPr>
                <w:b/>
              </w:rPr>
              <w:t xml:space="preserve">Uge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Dato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Emne</w:t>
            </w:r>
          </w:p>
        </w:tc>
      </w:tr>
      <w:tr>
        <w:tc>
          <w:p>
            <w:pPr>
              <w:jc w:val="left"/>
            </w:pPr>
            <w:r>
              <w:t xml:space="preserve">9</w:t>
            </w:r>
          </w:p>
        </w:tc>
        <w:tc>
          <w:p>
            <w:pPr>
              <w:jc w:val="left"/>
            </w:pPr>
            <w:r>
              <w:t xml:space="preserve">1/3</w:t>
            </w:r>
          </w:p>
        </w:tc>
        <w:tc>
          <w:p>
            <w:pPr>
              <w:jc w:val="left"/>
            </w:pPr>
            <w:r>
              <w:t xml:space="preserve">Terror/afslutning</w:t>
            </w:r>
          </w:p>
        </w:tc>
      </w:tr>
      <w:tr>
        <w:tc>
          <w:p>
            <w:pPr>
              <w:jc w:val="left"/>
            </w:pPr>
            <w:r>
              <w:t xml:space="preserve">11</w:t>
            </w:r>
          </w:p>
        </w:tc>
        <w:tc>
          <w:p>
            <w:pPr>
              <w:jc w:val="left"/>
            </w:pPr>
            <w:r>
              <w:t xml:space="preserve">15/3</w:t>
            </w:r>
          </w:p>
        </w:tc>
        <w:tc>
          <w:p>
            <w:pPr>
              <w:jc w:val="left"/>
            </w:pPr>
            <w:r>
              <w:t xml:space="preserve">Opsamling: Oliekrisen</w:t>
            </w:r>
          </w:p>
        </w:tc>
      </w:tr>
      <w:tr>
        <w:tc>
          <w:p>
            <w:pPr>
              <w:jc w:val="left"/>
            </w:pPr>
            <w:r>
              <w:t xml:space="preserve">12</w:t>
            </w:r>
          </w:p>
        </w:tc>
        <w:tc>
          <w:p>
            <w:pPr>
              <w:jc w:val="left"/>
            </w:pPr>
            <w:r>
              <w:t xml:space="preserve">22/3</w:t>
            </w:r>
          </w:p>
        </w:tc>
        <w:tc>
          <w:p>
            <w:pPr>
              <w:jc w:val="left"/>
            </w:pPr>
            <w:r>
              <w:t xml:space="preserve">Opsamling: ?</w:t>
            </w:r>
          </w:p>
        </w:tc>
      </w:tr>
      <w:tr>
        <w:tc>
          <w:p>
            <w:pPr>
              <w:jc w:val="left"/>
            </w:pPr>
            <w:r>
              <w:t xml:space="preserve">13</w:t>
            </w:r>
          </w:p>
        </w:tc>
        <w:tc>
          <w:p>
            <w:pPr>
              <w:jc w:val="left"/>
            </w:pPr>
            <w:r>
              <w:t xml:space="preserve">29/3</w:t>
            </w:r>
          </w:p>
        </w:tc>
        <w:tc>
          <w:p>
            <w:pPr>
              <w:jc w:val="left"/>
            </w:pPr>
            <w:r>
              <w:t xml:space="preserve">FSA</w:t>
            </w:r>
          </w:p>
        </w:tc>
      </w:tr>
      <w:tr>
        <w:tc>
          <w:p>
            <w:pPr>
              <w:jc w:val="left"/>
            </w:pPr>
            <w:r>
              <w:t xml:space="preserve">14</w:t>
            </w:r>
          </w:p>
        </w:tc>
        <w:tc>
          <w:p>
            <w:pPr>
              <w:jc w:val="left"/>
            </w:pPr>
            <w:r>
              <w:t xml:space="preserve">5/ 4</w:t>
            </w:r>
          </w:p>
        </w:tc>
        <w:tc>
          <w:p>
            <w:pPr>
              <w:jc w:val="left"/>
            </w:pPr>
            <w:r>
              <w:t xml:space="preserve">FSA</w:t>
            </w:r>
          </w:p>
        </w:tc>
      </w:tr>
      <w:tr>
        <w:tc>
          <w:p>
            <w:pPr>
              <w:jc w:val="left"/>
            </w:pPr>
            <w:r>
              <w:t xml:space="preserve">15</w:t>
            </w:r>
          </w:p>
        </w:tc>
        <w:tc>
          <w:p>
            <w:pPr>
              <w:jc w:val="left"/>
            </w:pPr>
            <w:r>
              <w:t xml:space="preserve">19/4</w:t>
            </w:r>
          </w:p>
        </w:tc>
        <w:tc>
          <w:p>
            <w:pPr>
              <w:jc w:val="left"/>
            </w:pPr>
            <w:r>
              <w:t xml:space="preserve">FSA</w:t>
            </w:r>
          </w:p>
        </w:tc>
      </w:tr>
      <w:tr>
        <w:tc>
          <w:p>
            <w:pPr>
              <w:jc w:val="left"/>
            </w:pPr>
            <w:r>
              <w:t xml:space="preserve">16</w:t>
            </w:r>
          </w:p>
        </w:tc>
        <w:tc>
          <w:p>
            <w:pPr>
              <w:jc w:val="left"/>
            </w:pPr>
            <w:r>
              <w:t xml:space="preserve">26/4</w:t>
            </w:r>
          </w:p>
        </w:tc>
        <w:tc>
          <w:p>
            <w:pPr>
              <w:jc w:val="left"/>
            </w:pPr>
            <w:r>
              <w:t xml:space="preserve">FSA</w:t>
            </w:r>
          </w:p>
        </w:tc>
      </w:tr>
    </w:tbl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© 2016</w:t>
      </w:r>
      <w:r>
        <w:t xml:space="preserve"> </w:t>
      </w:r>
      <w:hyperlink r:id="rId28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29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2caa7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4606fd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890b664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8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8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