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en-skæv-verden-historie-9.klasse"/>
    <w:p>
      <w:pPr>
        <w:pStyle w:val="Heading1"/>
      </w:pPr>
      <w:r>
        <w:t xml:space="preserve">En skæv verden</w:t>
      </w:r>
      <w:r>
        <w:t xml:space="preserve"> </w:t>
      </w:r>
      <w:r>
        <w:t xml:space="preserve"> </w:t>
      </w:r>
      <w:r>
        <w:rPr>
          <w:i/>
        </w:rPr>
        <w:t xml:space="preserve">Historie, 9.klasse</w:t>
      </w:r>
    </w:p>
    <w:bookmarkEnd w:id="21"/>
    <w:bookmarkStart w:id="22" w:name="en-skæv-verden"/>
    <w:p>
      <w:pPr>
        <w:pStyle w:val="Heading1"/>
      </w:pPr>
      <w:r>
        <w:t xml:space="preserve">En skæv verden</w:t>
      </w:r>
    </w:p>
    <w:bookmarkEnd w:id="22"/>
    <w:p>
      <w:pPr>
        <w:pStyle w:val="Compact"/>
      </w:pPr>
      <w:r>
        <w:t xml:space="preserve">Dagsorden</w:t>
      </w:r>
    </w:p>
    <w:p>
      <w:pPr>
        <w:pStyle w:val="Compact"/>
      </w:pPr>
      <w:r>
        <w:t xml:space="preserve">Mål &amp; begreber</w:t>
      </w:r>
    </w:p>
    <w:p>
      <w:pPr>
        <w:pStyle w:val="Compact"/>
      </w:pPr>
      <w:r>
        <w:t xml:space="preserve">En skæv verden</w:t>
      </w:r>
    </w:p>
    <w:p>
      <w:pPr>
        <w:pStyle w:val="Compact"/>
      </w:pPr>
      <w:r>
        <w:t xml:space="preserve">Historie 9</w:t>
      </w:r>
    </w:p>
    <w:p>
      <w:pPr>
        <w:pStyle w:val="Compact"/>
      </w:pPr>
      <w:r>
        <w:t xml:space="preserve">Noter</w:t>
      </w:r>
    </w:p>
    <w:p>
      <w:pPr>
        <w:pStyle w:val="Compact"/>
      </w:pPr>
    </w:p>
    <w:bookmarkStart w:id="23" w:name="mål-og-begreber"/>
    <w:p>
      <w:pPr>
        <w:pStyle w:val="Heading1"/>
      </w:pPr>
      <w:r>
        <w:t xml:space="preserve">Mål og begreber</w:t>
      </w:r>
    </w:p>
    <w:bookmarkEnd w:id="23"/>
    <w:p>
      <w:pPr>
        <w:pStyle w:val="Compact"/>
        <w:numPr>
          <w:numId w:val="2"/>
          <w:ilvl w:val="0"/>
        </w:numPr>
      </w:pPr>
      <w:r>
        <w:t xml:space="preserve">Eleven kan forklare historiske forandringers påvirkning af samfund lokalt, regionalt og globalt</w:t>
      </w:r>
    </w:p>
    <w:p>
      <w:pPr>
        <w:pStyle w:val="Compact"/>
        <w:numPr>
          <w:numId w:val="2"/>
          <w:ilvl w:val="0"/>
        </w:numPr>
      </w:pPr>
      <w:r>
        <w:t xml:space="preserve">Eleven kan analysere konstruktion og brug af historiske fortællinger med samtids- og fremtidsrettet sigte</w:t>
      </w:r>
    </w:p>
    <w:p>
      <w:pPr>
        <w:pStyle w:val="Compact"/>
        <w:numPr>
          <w:numId w:val="2"/>
          <w:ilvl w:val="0"/>
        </w:numPr>
      </w:pPr>
      <w:r>
        <w:t xml:space="preserve">Eleven kan redegøre for sammenhænge mellem fortidsfortolkninger nutidsforståelser og fremtidsforventninger</w:t>
      </w:r>
    </w:p>
    <w:p>
      <w:pPr>
        <w:pStyle w:val="Compact"/>
        <w:numPr>
          <w:numId w:val="2"/>
          <w:ilvl w:val="0"/>
        </w:numPr>
      </w:pPr>
      <w:r>
        <w:t xml:space="preserve">Eleven kan formulere historiske problemstillinger</w:t>
      </w:r>
    </w:p>
    <w:p>
      <w:pPr>
        <w:pStyle w:val="Compact"/>
        <w:numPr>
          <w:numId w:val="2"/>
          <w:ilvl w:val="0"/>
        </w:numPr>
      </w:pPr>
      <w:r>
        <w:t xml:space="preserve">Eleven kan udarbejde løsningsforslag på historiske problemstillinger med afsæt i udvalgte kilder</w:t>
      </w:r>
    </w:p>
    <w:p>
      <w:pPr>
        <w:pStyle w:val="Compact"/>
        <w:numPr>
          <w:numId w:val="2"/>
          <w:ilvl w:val="0"/>
        </w:numPr>
      </w:pPr>
      <w:r>
        <w:t xml:space="preserve">Eleven kan udlede forklaringer på historiske forhold og forløb ud fra historiske scenarier</w:t>
      </w:r>
    </w:p>
    <w:bookmarkStart w:id="24" w:name="en-skæv-verden-1"/>
    <w:p>
      <w:pPr>
        <w:pStyle w:val="Heading1"/>
      </w:pPr>
      <w:r>
        <w:t xml:space="preserve">En skæv verden</w:t>
      </w:r>
    </w:p>
    <w:bookmarkEnd w:id="24"/>
    <w:p>
      <w:pPr>
        <w:pStyle w:val="BlockQuote"/>
      </w:pPr>
      <w:r>
        <w:t xml:space="preserve">Since 2015, the richest 1% has owned more wealth than the rest of the planet. Eight men now own the same amount of wealth as the poorest half of the world. Over the next 20 years, 500 people will hand over $2.1 trillion to their heirs – a sum larger than the GDP of India, a country of 1.3 billion people.</w:t>
      </w:r>
    </w:p>
    <w:p>
      <w:pPr>
        <w:pStyle w:val="Compact"/>
      </w:pPr>
      <w:r>
        <w:t xml:space="preserve">fra Oxfam-rapporten: AN ECONOMY FOR THE 99%, se følgende</w:t>
      </w:r>
      <w:r>
        <w:t xml:space="preserve"> </w:t>
      </w:r>
      <w:r>
        <w:t xml:space="preserve">link</w:t>
      </w:r>
      <w:r>
        <w:t xml:space="preserve"> </w:t>
      </w:r>
    </w:p>
    <w:bookmarkStart w:id="25" w:name="historie-9"/>
    <w:p>
      <w:pPr>
        <w:pStyle w:val="Heading1"/>
      </w:pPr>
      <w:r>
        <w:t xml:space="preserve">Historie 9</w:t>
      </w:r>
    </w:p>
    <w:bookmarkEnd w:id="25"/>
    <w:p>
      <w:pPr>
        <w:pStyle w:val="Compact"/>
        <w:numPr>
          <w:numId w:val="3"/>
          <w:ilvl w:val="0"/>
        </w:numPr>
      </w:pPr>
      <w:r>
        <w:t xml:space="preserve">Læs baggrundssiderne: 149-152 i Historie 9</w:t>
      </w:r>
    </w:p>
    <w:p>
      <w:pPr>
        <w:pStyle w:val="Compact"/>
        <w:numPr>
          <w:numId w:val="3"/>
          <w:ilvl w:val="0"/>
        </w:numPr>
      </w:pPr>
      <w:r>
        <w:t xml:space="preserve">Læs dernæst s. 165-170 og lav opgaverne 171</w:t>
      </w:r>
    </w:p>
    <w:p>
      <w:pPr>
        <w:pStyle w:val="Compact"/>
        <w:numPr>
          <w:numId w:val="3"/>
          <w:ilvl w:val="0"/>
        </w:numPr>
      </w:pPr>
      <w:r>
        <w:t xml:space="preserve">Opsamling</w:t>
      </w:r>
    </w:p>
    <w:bookmarkStart w:id="26" w:name="copyright"/>
    <w:p>
      <w:pPr>
        <w:pStyle w:val="Heading1"/>
      </w:pPr>
      <w:r>
        <w:t xml:space="preserve">Copyright</w:t>
      </w:r>
    </w:p>
    <w:bookmarkEnd w:id="26"/>
    <w:p>
      <w:r>
        <w:t xml:space="preserve">© 2016</w:t>
      </w:r>
      <w:r>
        <w:t xml:space="preserve"> </w:t>
      </w:r>
      <w:hyperlink r:id="rId27">
        <w:r>
          <w:rPr>
            <w:rStyle w:val="Link"/>
          </w:rPr>
          <w:t xml:space="preserve">Mikkel Kristiansen</w:t>
        </w:r>
      </w:hyperlink>
      <w:r>
        <w:t xml:space="preserve">. Dette værk er under en Creative Commons Navngivelse 4.0 International licens. Besøg</w:t>
      </w:r>
      <w:r>
        <w:t xml:space="preserve"> </w:t>
      </w:r>
      <w:hyperlink r:id="rId28">
        <w:r>
          <w:rPr>
            <w:rStyle w:val="Link"/>
          </w:rPr>
          <w:t xml:space="preserve">http://creativecommons.org/licenses/by/4.0/</w:t>
        </w:r>
      </w:hyperlink>
      <w:r>
        <w:t xml:space="preserve"> </w:t>
      </w:r>
      <w:r>
        <w:t xml:space="preserve">for at se en kopi af licensen. Eksternt materiale i form af linkede artikler, opgaver o.lign, se de respektive sider for deres ophavrettigheder.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c0497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7b8f104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d7c00b9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creativecommons.org/licenses/by/4.0/" TargetMode="External" /><Relationship Type="http://schemas.openxmlformats.org/officeDocument/2006/relationships/hyperlink" Id="rId27" Target="http://www.mkuv.dk" TargetMode="External" /></Relationships>
</file>

<file path=word/_rels/footnotes.xml.rels><?xml version="1.0" encoding="UTF-8"?>
<Relationships xmlns="http://schemas.openxmlformats.org/package/2006/relationships"><Relationship Type="http://schemas.openxmlformats.org/officeDocument/2006/relationships/hyperlink" Id="rId28" Target="http://creativecommons.org/licenses/by/4.0/" TargetMode="External" /><Relationship Type="http://schemas.openxmlformats.org/officeDocument/2006/relationships/hyperlink" Id="rId27" Target="http://www.mkuv.d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