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danmarks-forfatning-historie-8.klasse"/>
    <w:p>
      <w:pPr>
        <w:pStyle w:val="Heading1"/>
      </w:pPr>
      <w:r>
        <w:t xml:space="preserve">1849 Danmarks forfatning</w:t>
      </w:r>
      <w:r>
        <w:t xml:space="preserve"> </w:t>
      </w:r>
      <w:r>
        <w:t xml:space="preserve"> </w:t>
      </w:r>
      <w:r>
        <w:rPr>
          <w:i/>
        </w:rPr>
        <w:t xml:space="preserve">Historie, 8.klasse</w:t>
      </w:r>
    </w:p>
    <w:bookmarkEnd w:id="21"/>
    <w:bookmarkStart w:id="22" w:name="danmarks-forfatning"/>
    <w:p>
      <w:pPr>
        <w:pStyle w:val="Heading1"/>
      </w:pPr>
      <w:r>
        <w:t xml:space="preserve">1849 Danmarks forfatning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Popquiz!</w:t>
      </w:r>
    </w:p>
    <w:p>
      <w:pPr>
        <w:pStyle w:val="Compact"/>
      </w:pPr>
      <w:r>
        <w:t xml:space="preserve">"Nu kan jeg endelig sove!"</w:t>
      </w:r>
    </w:p>
    <w:p>
      <w:pPr>
        <w:pStyle w:val="Compact"/>
      </w:pPr>
      <w:r>
        <w:t xml:space="preserve">Miniforedrag</w:t>
      </w:r>
    </w:p>
    <w:p>
      <w:pPr>
        <w:pStyle w:val="Compact"/>
      </w:pPr>
      <w:r>
        <w:t xml:space="preserve">Grundloven 1849</w:t>
      </w:r>
    </w:p>
    <w:p>
      <w:pPr>
        <w:pStyle w:val="Compact"/>
      </w:pPr>
      <w:r>
        <w:t xml:space="preserve">Kvinders stemmeret</w:t>
      </w:r>
    </w:p>
    <w:p>
      <w:pPr>
        <w:pStyle w:val="Compact"/>
      </w:pPr>
      <w:r>
        <w:t xml:space="preserve">Mod katastrofen</w:t>
      </w:r>
    </w:p>
    <w:p>
      <w:pPr>
        <w:pStyle w:val="Compact"/>
      </w:pPr>
      <w:r>
        <w:t xml:space="preserve">Opgave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bookmarkStart w:id="24" w:name="fra-fællesmål"/>
    <w:p>
      <w:pPr>
        <w:pStyle w:val="Heading3"/>
      </w:pPr>
      <w:r>
        <w:t xml:space="preserve">Fra fællesmål</w:t>
      </w:r>
    </w:p>
    <w:bookmarkEnd w:id="24"/>
    <w:p>
      <w:pPr>
        <w:pStyle w:val="Compact"/>
      </w:pPr>
      <w:r>
        <w:t xml:space="preserve">Eleven kan forklare historiske forandringers påvirkning af samfund lokalt, regionalt og globalt</w:t>
      </w:r>
    </w:p>
    <w:p>
      <w:pPr>
        <w:pStyle w:val="Compact"/>
      </w:pPr>
      <w:r>
        <w:t xml:space="preserve">Eleven har viden om kanonpunkter</w:t>
      </w:r>
    </w:p>
    <w:p>
      <w:pPr>
        <w:pStyle w:val="Compact"/>
      </w:pPr>
      <w:r>
        <w:t xml:space="preserve">Eleven kan forklare valget af kildekritiske begreber til analyse af historiske spor, medier og udtryksformer</w:t>
      </w:r>
    </w:p>
    <w:p>
      <w:pPr>
        <w:pStyle w:val="Compact"/>
      </w:pPr>
      <w:r>
        <w:t xml:space="preserve">Eleven har viden om kildekritiske begreber</w:t>
      </w:r>
    </w:p>
    <w:p>
      <w:pPr>
        <w:pStyle w:val="Compact"/>
      </w:pPr>
      <w:r>
        <w:t xml:space="preserve">Eleven har viden om sammenhænge mellem fortidsfortolkninger, nutidsforståelser og fremtidsforventninger</w:t>
      </w:r>
    </w:p>
    <w:p>
      <w:pPr>
        <w:pStyle w:val="Compact"/>
      </w:pPr>
      <w:r>
        <w:t xml:space="preserve">Eleven har viden om funktion af historie i fortid og nutid</w:t>
      </w:r>
    </w:p>
    <w:bookmarkStart w:id="25" w:name="kanon"/>
    <w:p>
      <w:pPr>
        <w:pStyle w:val="Heading3"/>
      </w:pPr>
      <w:r>
        <w:t xml:space="preserve">Kanon</w:t>
      </w:r>
    </w:p>
    <w:bookmarkEnd w:id="25"/>
    <w:p>
      <w:pPr>
        <w:pStyle w:val="Compact"/>
        <w:numPr>
          <w:numId w:val="2"/>
          <w:ilvl w:val="0"/>
        </w:numPr>
      </w:pPr>
      <w:r>
        <w:t xml:space="preserve">Grundloven 1849</w:t>
      </w:r>
    </w:p>
    <w:p>
      <w:pPr>
        <w:pStyle w:val="Compact"/>
        <w:numPr>
          <w:numId w:val="2"/>
          <w:ilvl w:val="0"/>
        </w:numPr>
      </w:pPr>
      <w:r>
        <w:t xml:space="preserve">Stormen på Dybbøl 1864</w:t>
      </w:r>
    </w:p>
    <w:bookmarkStart w:id="26" w:name="popquiz"/>
    <w:p>
      <w:pPr>
        <w:pStyle w:val="Heading1"/>
      </w:pPr>
      <w:r>
        <w:t xml:space="preserve">Popquiz!</w:t>
      </w:r>
    </w:p>
    <w:bookmarkEnd w:id="26"/>
    <w:p>
      <w:r>
        <w:t xml:space="preserve">Indlæser...</w:t>
      </w:r>
    </w:p>
    <w:p>
      <w:hyperlink r:id="rId27">
        <w:r>
          <w:rPr>
            <w:rStyle w:val="Link"/>
          </w:rPr>
          <w:t xml:space="preserve">Direkte link</w:t>
        </w:r>
      </w:hyperlink>
    </w:p>
    <w:bookmarkStart w:id="28" w:name="nu-kan-jeg-endelig-sove"/>
    <w:p>
      <w:pPr>
        <w:pStyle w:val="Heading1"/>
      </w:pPr>
      <w:r>
        <w:t xml:space="preserve">"Nu kan jeg endelig sove!"</w:t>
      </w:r>
    </w:p>
    <w:bookmarkEnd w:id="28"/>
    <w:p>
      <w:pPr>
        <w:pStyle w:val="Compact"/>
      </w:pPr>
      <w:r>
        <w:t xml:space="preserve">Læs følgende</w:t>
      </w:r>
      <w:r>
        <w:t xml:space="preserve"> </w:t>
      </w:r>
      <w:r>
        <w:t xml:space="preserve">artiklel</w:t>
      </w:r>
    </w:p>
    <w:p>
      <w:pPr>
        <w:pStyle w:val="Compact"/>
      </w:pPr>
    </w:p>
    <w:p>
      <w:pPr>
        <w:pStyle w:val="Compact"/>
      </w:pPr>
      <w:r>
        <w:t xml:space="preserve">Svar på følgende spørgsmål:</w:t>
      </w:r>
    </w:p>
    <w:p>
      <w:pPr>
        <w:pStyle w:val="Compact"/>
      </w:pPr>
      <w:r>
        <w:t xml:space="preserve">Hvordan begrundes indførelsen af grundloven?</w:t>
      </w:r>
    </w:p>
    <w:p>
      <w:pPr>
        <w:pStyle w:val="Compact"/>
      </w:pPr>
      <w:r>
        <w:t xml:space="preserve">Hvem havde stemmeret?</w:t>
      </w:r>
    </w:p>
    <w:p>
      <w:pPr>
        <w:pStyle w:val="Compact"/>
      </w:pPr>
      <w:r>
        <w:t xml:space="preserve">Udover forskelligheder i stemmeret, hvilke forskelle var der så?</w:t>
      </w:r>
    </w:p>
    <w:p>
      <w:pPr>
        <w:pStyle w:val="Compact"/>
      </w:pPr>
      <w:r>
        <w:t xml:space="preserve">ft.tv: Grundlovens tilblivelse</w:t>
      </w:r>
    </w:p>
    <w:bookmarkStart w:id="29" w:name="miniforedrag"/>
    <w:p>
      <w:pPr>
        <w:pStyle w:val="Heading1"/>
      </w:pPr>
      <w:r>
        <w:t xml:space="preserve">Miniforedrag</w:t>
      </w:r>
    </w:p>
    <w:bookmarkEnd w:id="29"/>
    <w:bookmarkStart w:id="30" w:name="se-følgende-miniforedrag-om-demokratiets-indførelse-i-danmark"/>
    <w:p>
      <w:pPr>
        <w:pStyle w:val="Heading2"/>
      </w:pPr>
      <w:r>
        <w:t xml:space="preserve">Se følgende miniforedrag om demokratiets indførelse i Danmark:</w:t>
      </w:r>
    </w:p>
    <w:bookmarkEnd w:id="30"/>
    <w:p>
      <w:pPr>
        <w:pStyle w:val="Compact"/>
      </w:pPr>
    </w:p>
    <w:p>
      <w:pPr>
        <w:pStyle w:val="Compact"/>
      </w:pPr>
      <w:r>
        <w:t xml:space="preserve">Demokrati og demokratisering</w:t>
      </w:r>
    </w:p>
    <w:bookmarkStart w:id="31" w:name="kvinders-stemmeret"/>
    <w:p>
      <w:pPr>
        <w:pStyle w:val="Heading1"/>
      </w:pPr>
      <w:r>
        <w:t xml:space="preserve">Kvinders stemmeret</w:t>
      </w:r>
    </w:p>
    <w:bookmarkEnd w:id="31"/>
    <w:bookmarkStart w:id="32" w:name="september-1913-elna-munch"/>
    <w:p>
      <w:pPr>
        <w:pStyle w:val="Heading2"/>
      </w:pPr>
      <w:r>
        <w:t xml:space="preserve">22. september 1913, Elna Munch</w:t>
      </w:r>
    </w:p>
    <w:bookmarkEnd w:id="32"/>
    <w:p/>
    <w:p>
      <w:r>
        <w:t xml:space="preserve"> </w:t>
      </w:r>
      <w:r>
        <w:t xml:space="preserve"> </w:t>
      </w:r>
      <w:r>
        <w:t xml:space="preserve">Talen transkriperet.</w:t>
      </w:r>
    </w:p>
    <w:p>
      <w:pPr>
        <w:pStyle w:val="Compact"/>
      </w:pPr>
      <w:r>
        <w:t xml:space="preserve">Hvad tror Elna Munch kvinders valgret vil medvirke?</w:t>
      </w:r>
    </w:p>
    <w:p>
      <w:pPr>
        <w:pStyle w:val="Compact"/>
      </w:pPr>
      <w:r>
        <w:t xml:space="preserve">Hvordan var samfundets/mændenes syn på kvinder?</w:t>
      </w:r>
    </w:p>
    <w:p>
      <w:pPr>
        <w:pStyle w:val="Compact"/>
      </w:pPr>
      <w:r>
        <w:t xml:space="preserve">Er de forskellige i forhold til i dag?</w:t>
      </w:r>
    </w:p>
    <w:p>
      <w:pPr>
        <w:pStyle w:val="Compact"/>
      </w:pPr>
    </w:p>
    <w:bookmarkStart w:id="33" w:name="mod-katastrofen"/>
    <w:p>
      <w:pPr>
        <w:pStyle w:val="Heading1"/>
      </w:pPr>
      <w:r>
        <w:t xml:space="preserve">Mod katastrofen</w:t>
      </w:r>
    </w:p>
    <w:bookmarkEnd w:id="33"/>
    <w:p>
      <w:pPr>
        <w:pStyle w:val="Compact"/>
        <w:numPr>
          <w:numId w:val="3"/>
          <w:ilvl w:val="0"/>
        </w:numPr>
      </w:pPr>
      <w:r>
        <w:t xml:space="preserve">Den danske regering førte en politik der ledte imod en samling af Slesvig og Kongeriget.</w:t>
      </w:r>
    </w:p>
    <w:p>
      <w:pPr>
        <w:pStyle w:val="Compact"/>
        <w:numPr>
          <w:numId w:val="3"/>
          <w:ilvl w:val="0"/>
        </w:numPr>
      </w:pPr>
      <w:r>
        <w:t xml:space="preserve">Slesvig-Holstenerne overvejende imod, støttet af Preussen/Østrig</w:t>
      </w:r>
    </w:p>
    <w:p>
      <w:pPr>
        <w:pStyle w:val="Compact"/>
        <w:numPr>
          <w:numId w:val="3"/>
          <w:ilvl w:val="0"/>
        </w:numPr>
      </w:pPr>
      <w:r>
        <w:t xml:space="preserve">Med</w:t>
      </w:r>
      <w:r>
        <w:t xml:space="preserve"> </w:t>
      </w:r>
      <w:r>
        <w:rPr>
          <w:i/>
        </w:rPr>
        <w:t xml:space="preserve">Grundloven af 1863</w:t>
      </w:r>
      <w:r>
        <w:t xml:space="preserve"> </w:t>
      </w:r>
      <w:r>
        <w:t xml:space="preserve">kom der et afgørende brud med fredsaftalen af 1849</w:t>
      </w:r>
    </w:p>
    <w:p>
      <w:pPr>
        <w:pStyle w:val="Compact"/>
        <w:numPr>
          <w:numId w:val="3"/>
          <w:ilvl w:val="0"/>
        </w:numPr>
      </w:pPr>
      <w:r>
        <w:t xml:space="preserve">Danmark regnede ikke med at det ville komme til krig, stormagterne skulle nok støtte Danmark</w:t>
      </w:r>
    </w:p>
    <w:p>
      <w:pPr>
        <w:pStyle w:val="Compact"/>
        <w:numPr>
          <w:numId w:val="3"/>
          <w:ilvl w:val="0"/>
        </w:numPr>
      </w:pPr>
      <w:r>
        <w:t xml:space="preserve">...desuden håbede enkelte nationalliberale at Danmark kunne få hjælp fra Sverige</w:t>
      </w:r>
    </w:p>
    <w:bookmarkStart w:id="34" w:name="opgave"/>
    <w:p>
      <w:pPr>
        <w:pStyle w:val="Heading1"/>
      </w:pPr>
      <w:r>
        <w:t xml:space="preserve">Opgave</w:t>
      </w:r>
    </w:p>
    <w:bookmarkEnd w:id="34"/>
    <w:p>
      <w:pPr>
        <w:pStyle w:val="BlockQuote"/>
      </w:pPr>
      <w:r>
        <w:t xml:space="preserve">Arbejd videre med din</w:t>
      </w:r>
      <w:r>
        <w:t xml:space="preserve"> </w:t>
      </w:r>
      <w:hyperlink r:id="rId35">
        <w:r>
          <w:rPr>
            <w:rStyle w:val="Link"/>
          </w:rPr>
          <w:t xml:space="preserve">tiki-toki-tidslinje</w:t>
        </w:r>
      </w:hyperlink>
    </w:p>
    <w:bookmarkStart w:id="36" w:name="lektier"/>
    <w:p>
      <w:pPr>
        <w:pStyle w:val="Heading1"/>
      </w:pPr>
      <w:r>
        <w:t xml:space="preserve">Lektier</w:t>
      </w:r>
    </w:p>
    <w:bookmarkEnd w:id="36"/>
    <w:p>
      <w:pPr>
        <w:pStyle w:val="Compact"/>
      </w:pPr>
      <w:r>
        <w:t xml:space="preserve">Genlæs eventuelt siderne frem til s. 191.</w:t>
      </w:r>
    </w:p>
    <w:p>
      <w:pPr>
        <w:pStyle w:val="Compact"/>
      </w:pPr>
    </w:p>
    <w:bookmarkStart w:id="37" w:name="copyright"/>
    <w:p>
      <w:pPr>
        <w:pStyle w:val="Heading1"/>
      </w:pPr>
      <w:r>
        <w:t xml:space="preserve">Copyright</w:t>
      </w:r>
    </w:p>
    <w:bookmarkEnd w:id="37"/>
    <w:p>
      <w:r>
        <w:t xml:space="preserve">Dette værk er licenseret under en</w:t>
      </w:r>
      <w:r>
        <w:t xml:space="preserve"> </w:t>
      </w:r>
      <w:hyperlink r:id="rId38">
        <w:r>
          <w:rPr>
            <w:rStyle w:val="Link"/>
          </w:rPr>
          <w:t xml:space="preserve">Creative Commons Navngivelse-DelPåSammeVilkår 2.5 Danmark Licens</w:t>
        </w:r>
      </w:hyperlink>
    </w:p>
    <w:p>
      <w:pPr>
        <w:pStyle w:val="Compact"/>
      </w:pPr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d4cfac5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55bf3538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8" Target="http://creativecommons.org/licenses/by-sa/2.5/dk/" TargetMode="External" /><Relationship Type="http://schemas.openxmlformats.org/officeDocument/2006/relationships/hyperlink" Id="rId27" Target="https://docs.google.com/forms/d/1JJbo3w43_PmC_6rf9E6gTgD2YldkM-t1WNGjBCSJpaA" TargetMode="External" /><Relationship Type="http://schemas.openxmlformats.org/officeDocument/2006/relationships/hyperlink" Id="rId35" Target="https://sso.emu.dk/unilogin/login.cgi?id=laerit&amp;path=aHR0cDovL3d3dy5za29sZXR1YmUuZGs%2FdXJsYmFjaz1hSFIwY0RvdkwzZDNkeTV6YTI5c1pYUjFZbVV1WkdzdllYQndMM1JwYTJsMGIydHBMdyUzRCUzRA%3D%3D&amp;auth=4dba52cb5ffe73151a8e8e4df10663c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8" Target="http://creativecommons.org/licenses/by-sa/2.5/dk/" TargetMode="External" /><Relationship Type="http://schemas.openxmlformats.org/officeDocument/2006/relationships/hyperlink" Id="rId27" Target="https://docs.google.com/forms/d/1JJbo3w43_PmC_6rf9E6gTgD2YldkM-t1WNGjBCSJpaA" TargetMode="External" /><Relationship Type="http://schemas.openxmlformats.org/officeDocument/2006/relationships/hyperlink" Id="rId35" Target="https://sso.emu.dk/unilogin/login.cgi?id=laerit&amp;path=aHR0cDovL3d3dy5za29sZXR1YmUuZGs%2FdXJsYmFjaz1hSFIwY0RvdkwzZDNkeTV6YTI5c1pYUjFZbVV1WkdzdllYQndMM1JwYTJsMGIydHBMdyUzRCUzRA%3D%3D&amp;auth=4dba52cb5ffe73151a8e8e4df10663c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