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Compact"/>
      </w:pPr>
      <w:r>
        <w:t xml:space="preserve">Mad og helse</w:t>
      </w:r>
      <w:r>
        <w:t xml:space="preserve"> </w:t>
      </w:r>
      <w:r>
        <w:t xml:space="preserve"> </w:t>
      </w:r>
      <w:r>
        <w:rPr>
          <w:i/>
        </w:rPr>
        <w:t xml:space="preserve">Historie, 3.klasse</w:t>
      </w:r>
    </w:p>
    <w:bookmarkStart w:id="21" w:name="mad-og-helse"/>
    <w:p>
      <w:pPr>
        <w:pStyle w:val="Heading1"/>
      </w:pPr>
      <w:r>
        <w:t xml:space="preserve">Mad og helse</w:t>
      </w:r>
    </w:p>
    <w:bookmarkEnd w:id="21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Mad i middelalderen</w:t>
      </w:r>
      <w:r>
        <w:t xml:space="preserve"> </w:t>
      </w:r>
    </w:p>
    <w:p>
      <w:pPr>
        <w:pStyle w:val="Compact"/>
      </w:pPr>
      <w:r>
        <w:t xml:space="preserve">Kirken og de syge</w:t>
      </w:r>
    </w:p>
    <w:p>
      <w:pPr>
        <w:pStyle w:val="Compact"/>
      </w:pPr>
      <w:r>
        <w:t xml:space="preserve">Kortet over Lillehavn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2" w:name="mål-og-begreber"/>
    <w:p>
      <w:pPr>
        <w:pStyle w:val="Heading1"/>
      </w:pPr>
      <w:r>
        <w:t xml:space="preserve">Mål og begreber</w:t>
      </w:r>
    </w:p>
    <w:bookmarkEnd w:id="22"/>
    <w:p>
      <w:pPr>
        <w:pStyle w:val="Compact"/>
        <w:numPr>
          <w:numId w:val="2"/>
          <w:ilvl w:val="0"/>
        </w:numPr>
      </w:pPr>
      <w:r>
        <w:t xml:space="preserve">Eleven kan opnå viden om historie gennem brug af historiske scenarier</w:t>
      </w:r>
    </w:p>
    <w:p>
      <w:pPr>
        <w:pStyle w:val="Compact"/>
        <w:numPr>
          <w:numId w:val="2"/>
          <w:ilvl w:val="0"/>
        </w:numPr>
      </w:pPr>
      <w:r>
        <w:t xml:space="preserve">Eleven kan bruge historiske spor i lokalområdet til at fortælle om fortiden</w:t>
      </w:r>
    </w:p>
    <w:p>
      <w:pPr>
        <w:pStyle w:val="Compact"/>
        <w:numPr>
          <w:numId w:val="2"/>
          <w:ilvl w:val="0"/>
        </w:numPr>
      </w:pPr>
      <w:r>
        <w:t xml:space="preserve">Eleven har viden om fællesskaber før og nu</w:t>
      </w:r>
    </w:p>
    <w:p>
      <w:pPr>
        <w:pStyle w:val="Compact"/>
        <w:numPr>
          <w:numId w:val="2"/>
          <w:ilvl w:val="0"/>
        </w:numPr>
      </w:pPr>
      <w:r>
        <w:t xml:space="preserve">Eleven har viden om livsgrundlag og produktion før og nu</w:t>
      </w:r>
    </w:p>
    <w:p>
      <w:pPr>
        <w:pStyle w:val="Compact"/>
        <w:numPr>
          <w:numId w:val="2"/>
          <w:ilvl w:val="0"/>
        </w:numPr>
      </w:pPr>
      <w:r>
        <w:t xml:space="preserve">Eleven har viden om magtforhold og samfundsstrukturer før og nu</w:t>
      </w:r>
    </w:p>
    <w:bookmarkStart w:id="23" w:name="mad-i-middelalderen"/>
    <w:p>
      <w:pPr>
        <w:pStyle w:val="Heading1"/>
      </w:pPr>
      <w:r>
        <w:t xml:space="preserve">Mad i middelalderen</w:t>
      </w:r>
    </w:p>
    <w:bookmarkEnd w:id="23"/>
    <w:p>
      <w:pPr>
        <w:pStyle w:val="Compact"/>
      </w:pPr>
    </w:p>
    <w:p>
      <w:pPr>
        <w:pStyle w:val="Compact"/>
        <w:numPr>
          <w:numId w:val="3"/>
          <w:ilvl w:val="0"/>
        </w:numPr>
      </w:pPr>
      <w:r>
        <w:t xml:space="preserve">Vi læser s. 41-43</w:t>
      </w:r>
    </w:p>
    <w:p>
      <w:pPr>
        <w:pStyle w:val="Compact"/>
        <w:numPr>
          <w:numId w:val="3"/>
          <w:ilvl w:val="0"/>
        </w:numPr>
      </w:pPr>
      <w:r>
        <w:t xml:space="preserve">Hvordan opbevarer vi mad i dag?</w:t>
      </w:r>
    </w:p>
    <w:bookmarkStart w:id="24" w:name="kirken-og-de-syge"/>
    <w:p>
      <w:pPr>
        <w:pStyle w:val="Heading1"/>
      </w:pPr>
      <w:r>
        <w:t xml:space="preserve">Kirken og de syge</w:t>
      </w:r>
    </w:p>
    <w:bookmarkEnd w:id="24"/>
    <w:p>
      <w:pPr>
        <w:pStyle w:val="Compact"/>
        <w:numPr>
          <w:numId w:val="4"/>
          <w:ilvl w:val="0"/>
        </w:numPr>
      </w:pPr>
      <w:r>
        <w:t xml:space="preserve">Hvad ved I allerede om munke?</w:t>
      </w:r>
    </w:p>
    <w:p>
      <w:pPr>
        <w:pStyle w:val="Compact"/>
        <w:numPr>
          <w:numId w:val="4"/>
          <w:ilvl w:val="0"/>
        </w:numPr>
      </w:pPr>
      <w:r>
        <w:t xml:space="preserve">Vi læser s. 43-45</w:t>
      </w:r>
    </w:p>
    <w:p/>
    <w:bookmarkStart w:id="25" w:name="kortet-over-lillehavn"/>
    <w:p>
      <w:pPr>
        <w:pStyle w:val="Heading1"/>
      </w:pPr>
      <w:r>
        <w:t xml:space="preserve">Kortet over Lillehavn</w:t>
      </w:r>
    </w:p>
    <w:bookmarkEnd w:id="25"/>
    <w:bookmarkStart w:id="26" w:name="hvad-skal-sættes-på-efter-i-dag"/>
    <w:p>
      <w:pPr>
        <w:pStyle w:val="Heading2"/>
      </w:pPr>
      <w:r>
        <w:t xml:space="preserve">Hvad skal sættes på efter i dag?</w:t>
      </w:r>
    </w:p>
    <w:bookmarkEnd w:id="26"/>
    <w:bookmarkStart w:id="27" w:name="copyright-12"/>
    <w:p>
      <w:pPr>
        <w:pStyle w:val="Heading1"/>
      </w:pPr>
      <w:r>
        <w:t xml:space="preserve">Copyright 1/2</w:t>
      </w:r>
    </w:p>
    <w:bookmarkEnd w:id="27"/>
    <w:p>
      <w:r>
        <w:t xml:space="preserve">Dette værk er licenseret under en</w:t>
      </w:r>
      <w:r>
        <w:t xml:space="preserve"> </w:t>
      </w:r>
      <w:hyperlink r:id="rId28">
        <w:r>
          <w:rPr>
            <w:rStyle w:val="Link"/>
          </w:rPr>
          <w:t xml:space="preserve">Creative Commons Navngivelse-DelPåSammeVilkår 2.5 Danmark Licens</w:t>
        </w:r>
      </w:hyperlink>
    </w:p>
    <w:p>
      <w:r>
        <w:t xml:space="preserve">Eksternt materiale i form af linkede artikler, opgaver o.lign, se de respektive sider for deres ophavrettigheder.</w:t>
      </w:r>
    </w:p>
    <w:p>
      <w:pPr>
        <w:pStyle w:val="Compact"/>
      </w:pPr>
      <w:r>
        <w:t xml:space="preserve">"</w:t>
      </w:r>
      <w:r>
        <w:t xml:space="preserve">Vor Frue Kirke Århus</w:t>
      </w:r>
      <w:r>
        <w:t xml:space="preserve">". Licensed under</w:t>
      </w:r>
      <w:r>
        <w:t xml:space="preserve"> </w:t>
      </w:r>
      <w:r>
        <w:t xml:space="preserve">CC BY-SA 3.0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  <w:bookmarkStart w:id="29" w:name="copyright-22"/>
    <w:p>
      <w:pPr>
        <w:pStyle w:val="Heading1"/>
      </w:pPr>
      <w:r>
        <w:t xml:space="preserve">Copyright 2/2</w:t>
      </w:r>
    </w:p>
    <w:bookmarkEnd w:id="29"/>
    <w:p>
      <w:pPr>
        <w:pStyle w:val="Compact"/>
      </w:pPr>
      <w:r>
        <w:t xml:space="preserve">"</w:t>
      </w:r>
      <w:r>
        <w:t xml:space="preserve">FrColl2</w:t>
      </w:r>
      <w:r>
        <w:t xml:space="preserve">" by Blanca Chavarri - www.dominicos.net.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  <w:p>
      <w:pPr>
        <w:pStyle w:val="Compact"/>
      </w:pPr>
      <w:r>
        <w:t xml:space="preserve">"</w:t>
      </w:r>
      <w:r>
        <w:t xml:space="preserve">Jörg Breu d. Ä. 002</w:t>
      </w:r>
      <w:r>
        <w:t xml:space="preserve">" by</w:t>
      </w:r>
      <w:r>
        <w:t xml:space="preserve"> </w:t>
      </w:r>
      <w:r>
        <w:t xml:space="preserve">Jörg Breu the Elder</w:t>
      </w:r>
      <w:r>
        <w:t xml:space="preserve"> </w:t>
      </w:r>
      <w:r>
        <w:t xml:space="preserve">- The Yorck Project: 10.000 Meisterwerke der Malerei. DVD-ROM, 2002. ISBN 3936122202. Distributed by DIRECTMEDIA Publishing GmbH..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836415f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2866ad3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8" Target="http://creativecommons.org/licenses/by-sa/2.5/dk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8" Target="http://creativecommons.org/licenses/by-sa/2.5/dk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