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de-nordiske-guder-historie-4.klasse"/>
    <w:p>
      <w:pPr>
        <w:pStyle w:val="Heading1"/>
      </w:pPr>
      <w:r>
        <w:t xml:space="preserve">De nordiske guder</w:t>
      </w:r>
      <w:r>
        <w:t xml:space="preserve"> </w:t>
      </w:r>
      <w:r>
        <w:t xml:space="preserve"> </w:t>
      </w:r>
      <w:r>
        <w:rPr>
          <w:iCs/>
          <w:i/>
        </w:rPr>
        <w:t xml:space="preserve">Historie, 4.klasse</w:t>
      </w:r>
    </w:p>
    <w:p>
      <w:pPr>
        <w:pStyle w:val="FirstParagraph"/>
      </w:pPr>
    </w:p>
    <w:bookmarkEnd w:id="20"/>
    <w:bookmarkStart w:id="21" w:name="de-nordiske-guder"/>
    <w:p>
      <w:pPr>
        <w:pStyle w:val="Heading1"/>
      </w:pPr>
      <w:r>
        <w:t xml:space="preserve">De nordiske guder</w:t>
      </w:r>
    </w:p>
    <w:p>
      <w:pPr>
        <w:pStyle w:val="FirstParagraph"/>
      </w:pPr>
      <w:r>
        <w:t xml:space="preserve">Dagsorden</w:t>
      </w:r>
    </w:p>
    <w:p>
      <w:pPr>
        <w:pStyle w:val="BodyText"/>
      </w:pPr>
      <w:r>
        <w:t xml:space="preserve">Mål &amp; begreber</w:t>
      </w:r>
    </w:p>
    <w:p>
      <w:pPr>
        <w:pStyle w:val="BodyText"/>
      </w:pPr>
      <w:r>
        <w:t xml:space="preserve">Forforståelse</w:t>
      </w:r>
    </w:p>
    <w:p>
      <w:pPr>
        <w:pStyle w:val="BodyText"/>
      </w:pPr>
      <w:r>
        <w:t xml:space="preserve">Valhalla</w:t>
      </w:r>
    </w:p>
    <w:p>
      <w:pPr>
        <w:pStyle w:val="BodyText"/>
      </w:pPr>
      <w:r>
        <w:t xml:space="preserve">Klar parat historie for 4. kl</w:t>
      </w:r>
    </w:p>
    <w:p>
      <w:pPr>
        <w:pStyle w:val="BodyText"/>
      </w:pPr>
      <w:r>
        <w:t xml:space="preserve">Guderne</w:t>
      </w:r>
    </w:p>
    <w:p>
      <w:pPr>
        <w:pStyle w:val="BodyText"/>
      </w:pPr>
      <w:r>
        <w:t xml:space="preserve">Fremlægelser</w:t>
      </w:r>
    </w:p>
    <w:p>
      <w:pPr>
        <w:pStyle w:val="BodyText"/>
      </w:pPr>
      <w:r>
        <w:t xml:space="preserve">Evaluering</w:t>
      </w:r>
    </w:p>
    <w:p>
      <w:pPr>
        <w:pStyle w:val="BodyText"/>
      </w:pPr>
      <w:r>
        <w:t xml:space="preserve">Noter</w:t>
      </w:r>
    </w:p>
    <w:p>
      <w:pPr>
        <w:pStyle w:val="BodyText"/>
      </w:pPr>
    </w:p>
    <w:bookmarkEnd w:id="21"/>
    <w:bookmarkStart w:id="22" w:name="mål-og-begreber"/>
    <w:p>
      <w:pPr>
        <w:pStyle w:val="Heading1"/>
      </w:pPr>
      <w:r>
        <w:t xml:space="preserve">Mål og begreber</w:t>
      </w:r>
    </w:p>
    <w:p>
      <w:pPr>
        <w:numPr>
          <w:ilvl w:val="0"/>
          <w:numId w:val="1001"/>
        </w:numPr>
        <w:pStyle w:val="Compact"/>
      </w:pPr>
      <w:r>
        <w:t xml:space="preserve">Du skal kende de vigtigste af de nordiske guder</w:t>
      </w:r>
    </w:p>
    <w:p>
      <w:pPr>
        <w:numPr>
          <w:ilvl w:val="0"/>
          <w:numId w:val="1001"/>
        </w:numPr>
        <w:pStyle w:val="Compact"/>
      </w:pPr>
      <w:r>
        <w:t xml:space="preserve">Du skal vide hvad de vigtigste nordiske guder stod for</w:t>
      </w:r>
    </w:p>
    <w:p>
      <w:pPr>
        <w:numPr>
          <w:ilvl w:val="0"/>
          <w:numId w:val="1001"/>
        </w:numPr>
        <w:pStyle w:val="Compact"/>
      </w:pPr>
      <w:r>
        <w:t xml:space="preserve">Du skal vide hvordan de nordiske guder adskiller sig fra de kristnes gud</w:t>
      </w:r>
    </w:p>
    <w:bookmarkEnd w:id="22"/>
    <w:bookmarkStart w:id="23" w:name="hvad-ved-kender-i-til-de-nordiske-guder"/>
    <w:p>
      <w:pPr>
        <w:pStyle w:val="Heading1"/>
      </w:pPr>
      <w:r>
        <w:t xml:space="preserve">Hvad ved kender I til de nordiske guder?</w:t>
      </w:r>
    </w:p>
    <w:bookmarkEnd w:id="23"/>
    <w:bookmarkStart w:id="25" w:name="valhalla"/>
    <w:p>
      <w:pPr>
        <w:pStyle w:val="Heading1"/>
      </w:pPr>
      <w:r>
        <w:t xml:space="preserve">Valhalla</w:t>
      </w:r>
    </w:p>
    <w:p>
      <w:pPr>
        <w:pStyle w:val="FirstParagraph"/>
      </w:pPr>
      <w:r>
        <w:t xml:space="preserve">Vi ser tegnefilmen:</w:t>
      </w:r>
      <w:r>
        <w:t xml:space="preserve"> </w:t>
      </w:r>
      <w:hyperlink r:id="rId24">
        <w:r>
          <w:rPr>
            <w:rStyle w:val="Hyperlink"/>
          </w:rPr>
          <w:t xml:space="preserve">Valhalla</w:t>
        </w:r>
      </w:hyperlink>
    </w:p>
    <w:p>
      <w:pPr>
        <w:pStyle w:val="BodyText"/>
      </w:pPr>
    </w:p>
    <w:bookmarkEnd w:id="25"/>
    <w:bookmarkStart w:id="26" w:name="fra-en-tro-til-en-anden"/>
    <w:p>
      <w:pPr>
        <w:pStyle w:val="Heading1"/>
      </w:pPr>
      <w:r>
        <w:t xml:space="preserve">Fra en tro til en anden</w:t>
      </w:r>
    </w:p>
    <w:p>
      <w:pPr>
        <w:pStyle w:val="BlockText"/>
      </w:pPr>
      <w:r>
        <w:t xml:space="preserve">Find linket</w:t>
      </w:r>
      <w:r>
        <w:t xml:space="preserve"> </w:t>
      </w:r>
      <w:r>
        <w:t xml:space="preserve">“</w:t>
      </w:r>
      <w:r>
        <w:t xml:space="preserve">Fra en tro til en anden</w:t>
      </w:r>
      <w:r>
        <w:t xml:space="preserve">”</w:t>
      </w:r>
      <w:r>
        <w:t xml:space="preserve"> </w:t>
      </w:r>
      <w:r>
        <w:t xml:space="preserve">på Google classroom</w:t>
      </w:r>
    </w:p>
    <w:bookmarkEnd w:id="26"/>
    <w:bookmarkStart w:id="27" w:name="guderne"/>
    <w:p>
      <w:pPr>
        <w:pStyle w:val="Heading1"/>
      </w:pPr>
      <w:r>
        <w:t xml:space="preserve">Guderne</w:t>
      </w:r>
    </w:p>
    <w:bookmarkEnd w:id="27"/>
    <w:bookmarkStart w:id="28" w:name="evaluering"/>
    <w:p>
      <w:pPr>
        <w:pStyle w:val="Heading1"/>
      </w:pPr>
      <w:r>
        <w:t xml:space="preserve">Evaluering</w:t>
      </w:r>
    </w:p>
    <w:bookmarkEnd w:id="28"/>
    <w:bookmarkStart w:id="31" w:name="copyright-12"/>
    <w:p>
      <w:pPr>
        <w:pStyle w:val="Heading1"/>
      </w:pPr>
      <w:r>
        <w:t xml:space="preserve">Copyright 1/2</w:t>
      </w:r>
    </w:p>
    <w:p>
      <w:pPr>
        <w:pStyle w:val="FirstParagraph"/>
      </w:pPr>
      <w:r>
        <w:t xml:space="preserve">© 2019</w:t>
      </w:r>
      <w:r>
        <w:t xml:space="preserve"> </w:t>
      </w:r>
      <w:hyperlink r:id="rId29">
        <w:r>
          <w:rPr>
            <w:rStyle w:val="Hyperlink"/>
          </w:rPr>
          <w:t xml:space="preserve">Mikkel Kristiansen</w:t>
        </w:r>
      </w:hyperlink>
      <w:r>
        <w:t xml:space="preserve">.</w:t>
      </w:r>
      <w:r>
        <w:t xml:space="preserve"> </w:t>
      </w:r>
      <w:r>
        <w:t xml:space="preserve">Dette værk er under en Creative Commons Navngivelse 4.0 International licens. Besøg</w:t>
      </w:r>
      <w:r>
        <w:t xml:space="preserve"> </w:t>
      </w:r>
      <w:hyperlink r:id="rId30">
        <w:r>
          <w:rPr>
            <w:rStyle w:val="Hyper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  <w:r>
        <w:t xml:space="preserve"> </w:t>
      </w:r>
      <w:r>
        <w:t xml:space="preserve">Eksternt materiale i form af linkede artikler, opgaver o.lign, se de respektive sider for deres ophavrettigheder.</w:t>
      </w:r>
    </w:p>
    <w:p>
      <w:pPr>
        <w:pStyle w:val="BodyText"/>
      </w:pPr>
      <w:r>
        <w:t xml:space="preserve">Af</w:t>
      </w:r>
      <w:r>
        <w:t xml:space="preserve"> </w:t>
      </w:r>
      <w:r>
        <w:t xml:space="preserve">Mårten Eskil Winge</w:t>
      </w:r>
      <w:r>
        <w:t xml:space="preserve"> </w:t>
      </w:r>
      <w:r>
        <w:t xml:space="preserve">-</w:t>
      </w:r>
      <w:r>
        <w:t xml:space="preserve"> </w:t>
      </w:r>
      <w:r>
        <w:t xml:space="preserve">3gGd_ynWqGjGfQ at Google Cultural Institute</w:t>
      </w:r>
      <w:r>
        <w:t xml:space="preserve"> </w:t>
      </w:r>
      <w:r>
        <w:t xml:space="preserve">maximum zoom level, Public Domain,</w:t>
      </w:r>
      <w:r>
        <w:t xml:space="preserve"> </w:t>
      </w:r>
      <w:r>
        <w:t xml:space="preserve">Link</w:t>
      </w:r>
    </w:p>
    <w:bookmarkEnd w:id="31"/>
    <w:bookmarkStart w:id="32" w:name="copyright-22"/>
    <w:p>
      <w:pPr>
        <w:pStyle w:val="Heading1"/>
      </w:pPr>
      <w:r>
        <w:t xml:space="preserve">Copyright 2/2</w:t>
      </w:r>
    </w:p>
    <w:p>
      <w:pPr>
        <w:pStyle w:val="FirstParagraph"/>
      </w:pPr>
      <w:r>
        <w:t xml:space="preserve">By</w:t>
      </w:r>
      <w:r>
        <w:t xml:space="preserve"> </w:t>
      </w:r>
      <w:r>
        <w:t xml:space="preserve">Unknown</w:t>
      </w:r>
      <w:r>
        <w:t xml:space="preserve"> </w:t>
      </w:r>
      <w:r>
        <w:t xml:space="preserve">- Oscar Montelius, Om lifvet i Sverige under hednatiden (Stockholm 1905) s.98, Public Domain,</w:t>
      </w:r>
      <w:r>
        <w:t xml:space="preserve"> </w:t>
      </w:r>
      <w:r>
        <w:t xml:space="preserve">Link</w:t>
      </w:r>
    </w:p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4" Target="http://via.mitcfu.dk/CFUFILM1071432" TargetMode="External" /><Relationship Type="http://schemas.openxmlformats.org/officeDocument/2006/relationships/hyperlink" Id="rId29" Target="http://www.mkuv.dk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4" Target="http://via.mitcfu.dk/CFUFILM1071432" TargetMode="External" /><Relationship Type="http://schemas.openxmlformats.org/officeDocument/2006/relationships/hyperlink" Id="rId29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2021-08-11T19:15:54Z</dcterms:created>
  <dcterms:modified xsi:type="dcterms:W3CDTF">2021-08-11T19:15:54Z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