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Jødedommen</w:t>
      </w:r>
      <w:r>
        <w:t xml:space="preserve"> </w:t>
      </w:r>
      <w:r>
        <w:t xml:space="preserve"> </w:t>
      </w:r>
      <w:r>
        <w:rPr>
          <w:i/>
        </w:rPr>
        <w:t xml:space="preserve">Kristendom, 9.klasse</w:t>
      </w:r>
    </w:p>
    <w:p>
      <w:r>
        <w:pict>
          <v:rect style="width:0;height:1.5pt" o:hralign="center" o:hrstd="t" o:hr="t"/>
        </w:pict>
      </w:r>
    </w:p>
    <w:bookmarkStart w:id="21" w:name="jødedommen"/>
    <w:p>
      <w:pPr>
        <w:pStyle w:val="Heading1"/>
      </w:pPr>
      <w:r>
        <w:t xml:space="preserve">Jødedommen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Jødedom - hvad er det?</w:t>
      </w:r>
    </w:p>
    <w:p>
      <w:pPr>
        <w:pStyle w:val="Compact"/>
      </w:pPr>
      <w:r>
        <w:t xml:space="preserve">Under samme himmel</w:t>
      </w:r>
    </w:p>
    <w:p>
      <w:pPr>
        <w:pStyle w:val="Compact"/>
      </w:pPr>
      <w:r>
        <w:t xml:space="preserve">Jødedommens skrift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har viden om fortællinger fra Det gamle testamente</w:t>
      </w:r>
    </w:p>
    <w:p>
      <w:pPr>
        <w:pStyle w:val="Compact"/>
        <w:numPr>
          <w:numId w:val="2"/>
          <w:ilvl w:val="0"/>
        </w:numPr>
      </w:pPr>
      <w:r>
        <w:t xml:space="preserve">Du har viden om hovedtræk i Jødedommen</w:t>
      </w:r>
    </w:p>
    <w:p>
      <w:pPr>
        <w:pStyle w:val="Compact"/>
        <w:numPr>
          <w:numId w:val="2"/>
          <w:ilvl w:val="0"/>
        </w:numPr>
      </w:pPr>
      <w:r>
        <w:t xml:space="preserve">Du kan redegøre for vigtige grundbegreber og værdier i jødedommen</w:t>
      </w:r>
    </w:p>
    <w:p>
      <w:pPr>
        <w:pStyle w:val="Compact"/>
        <w:numPr>
          <w:numId w:val="2"/>
          <w:ilvl w:val="0"/>
        </w:numPr>
      </w:pPr>
      <w:r>
        <w:t xml:space="preserve">Du har viden om vigtige jødiske symboler og ritualer</w:t>
      </w:r>
    </w:p>
    <w:p>
      <w:pPr>
        <w:pStyle w:val="Compact"/>
        <w:numPr>
          <w:numId w:val="2"/>
          <w:ilvl w:val="0"/>
        </w:numPr>
      </w:pPr>
      <w:r>
        <w:t xml:space="preserve">Du kan anvende din viden om jødiske ritualer til at få indblik i troende jøders liv og hverdag</w:t>
      </w:r>
    </w:p>
    <w:bookmarkStart w:id="23" w:name="under-samme-himmel"/>
    <w:p>
      <w:pPr>
        <w:pStyle w:val="Heading1"/>
      </w:pPr>
      <w:r>
        <w:t xml:space="preserve">Under samme himmel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Læs s. 6-14</w:t>
      </w:r>
    </w:p>
    <w:p>
      <w:pPr>
        <w:pStyle w:val="Compact"/>
        <w:numPr>
          <w:numId w:val="3"/>
          <w:ilvl w:val="0"/>
        </w:numPr>
      </w:pPr>
      <w:r>
        <w:t xml:space="preserve">Løs</w:t>
      </w:r>
      <w:r>
        <w:t xml:space="preserve"> </w:t>
      </w:r>
      <w:r>
        <w:rPr>
          <w:i/>
        </w:rPr>
        <w:t xml:space="preserve">Spørgsmål til teksten</w:t>
      </w:r>
      <w:r>
        <w:t xml:space="preserve"> </w:t>
      </w:r>
      <w:r>
        <w:t xml:space="preserve">og</w:t>
      </w:r>
      <w:r>
        <w:t xml:space="preserve"> </w:t>
      </w:r>
      <w:r>
        <w:rPr>
          <w:i/>
        </w:rPr>
        <w:t xml:space="preserve">Arbejde med teksten</w:t>
      </w:r>
      <w:r>
        <w:t xml:space="preserve"> </w:t>
      </w:r>
      <w:r>
        <w:t xml:space="preserve">s. 13</w:t>
      </w:r>
    </w:p>
    <w:bookmarkStart w:id="24" w:name="lektier"/>
    <w:p>
      <w:pPr>
        <w:pStyle w:val="Heading1"/>
      </w:pPr>
      <w:r>
        <w:t xml:space="preserve">Lektier</w:t>
      </w:r>
    </w:p>
    <w:bookmarkEnd w:id="24"/>
    <w:p>
      <w:pPr>
        <w:pStyle w:val="Compact"/>
      </w:pPr>
      <w:r>
        <w:t xml:space="preserve">Læs s. 15-21 i Under den samme himmel</w:t>
      </w:r>
    </w:p>
    <w:p>
      <w:pPr>
        <w:pStyle w:val="Compact"/>
      </w:pPr>
    </w:p>
    <w:bookmarkStart w:id="25" w:name="copyright"/>
    <w:p>
      <w:pPr>
        <w:pStyle w:val="Heading1"/>
      </w:pPr>
      <w:r>
        <w:t xml:space="preserve">Copyright</w:t>
      </w:r>
    </w:p>
    <w:bookmarkEnd w:id="25"/>
    <w:p>
      <w:r>
        <w:t xml:space="preserve">© 2015</w:t>
      </w:r>
      <w:r>
        <w:t xml:space="preserve"> </w:t>
      </w:r>
      <w:hyperlink r:id="rId26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27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Wayne McLean</w:t>
      </w:r>
      <w:r>
        <w:t xml:space="preserve"> </w:t>
      </w:r>
      <w:r>
        <w:t xml:space="preserve">(</w:t>
      </w:r>
      <w:r>
        <w:t xml:space="preserve"> </w:t>
      </w:r>
      <w:r>
        <w:t xml:space="preserve">jgritz</w:t>
      </w:r>
      <w:r>
        <w:t xml:space="preserve">) 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 2.0</w:t>
      </w:r>
      <w:r>
        <w:t xml:space="preserve">,</w:t>
      </w:r>
      <w:r>
        <w:t xml:space="preserve"> </w:t>
      </w:r>
      <w:r>
        <w:t xml:space="preserve">https://commons.wikimedia.org/w/index.php?curid=140638</w:t>
      </w:r>
    </w:p>
    <w:p>
      <w:pPr>
        <w:pStyle w:val="Compact"/>
      </w:pPr>
      <w:r>
        <w:t xml:space="preserve">Public Domain,</w:t>
      </w:r>
      <w:r>
        <w:t xml:space="preserve"> </w:t>
      </w:r>
      <w:r>
        <w:t xml:space="preserve">https://commons.wikimedia.org/w/index.php?curid=127677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087dad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ab3d9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