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En blivende fred?</w:t>
      </w:r>
      <w:r>
        <w:t xml:space="preserve"> </w:t>
      </w:r>
      <w:r>
        <w:t xml:space="preserve"> </w:t>
      </w:r>
      <w:r>
        <w:rPr>
          <w:i/>
        </w:rPr>
        <w:t xml:space="preserve">Historie, 8.klasse</w:t>
      </w:r>
    </w:p>
    <w:bookmarkStart w:id="21" w:name="en-blivende-fred"/>
    <w:p>
      <w:pPr>
        <w:pStyle w:val="Heading1"/>
      </w:pPr>
      <w:r>
        <w:t xml:space="preserve">En blivende fred?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IWW</w:t>
      </w:r>
    </w:p>
    <w:p>
      <w:pPr>
        <w:pStyle w:val="Compact"/>
      </w:pPr>
      <w:r>
        <w:t xml:space="preserve">Versaillestraktaten</w:t>
      </w:r>
    </w:p>
    <w:p>
      <w:pPr>
        <w:pStyle w:val="Compact"/>
      </w:pPr>
      <w:r>
        <w:t xml:space="preserve">Dolkestødet</w:t>
      </w:r>
    </w:p>
    <w:p>
      <w:pPr>
        <w:pStyle w:val="Compact"/>
      </w:pPr>
      <w:r>
        <w:t xml:space="preserve">Folkeforbundet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Versaillestraktatens bestemmelser og konsekvenser for Tyskland/Europa</w:t>
      </w:r>
    </w:p>
    <w:p>
      <w:pPr>
        <w:pStyle w:val="Compact"/>
        <w:numPr>
          <w:numId w:val="2"/>
          <w:ilvl w:val="0"/>
        </w:numPr>
      </w:pPr>
      <w:r>
        <w:t xml:space="preserve">Folkeforbundet</w:t>
      </w:r>
    </w:p>
    <w:p>
      <w:pPr>
        <w:pStyle w:val="Compact"/>
        <w:numPr>
          <w:numId w:val="2"/>
          <w:ilvl w:val="0"/>
        </w:numPr>
      </w:pPr>
      <w:r>
        <w:t xml:space="preserve">Dolkestødslegenden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IWW</w:t>
      </w:r>
      <w:r>
        <w:t xml:space="preserve"> </w:t>
      </w:r>
      <w:r>
        <w:t xml:space="preserve"> </w:t>
      </w:r>
      <w:r>
        <w:t xml:space="preserve">1914-1918</w:t>
      </w:r>
      <w:r>
        <w:t xml:space="preserve"> </w:t>
      </w:r>
      <w:r>
        <w:t xml:space="preserve"> </w:t>
      </w:r>
      <w:r>
        <w:t xml:space="preserve">23,674,204 døde eller savnede</w:t>
      </w:r>
    </w:p>
    <w:bookmarkStart w:id="23" w:name="versaillestraktaten"/>
    <w:p>
      <w:pPr>
        <w:pStyle w:val="Heading1"/>
      </w:pPr>
      <w:r>
        <w:t xml:space="preserve">Versaillestraktaten</w:t>
      </w:r>
    </w:p>
    <w:bookmarkEnd w:id="23"/>
    <w:p>
      <w:pPr>
        <w:pStyle w:val="Compact"/>
      </w:pPr>
    </w:p>
    <w:p>
      <w:pPr>
        <w:pStyle w:val="Compact"/>
        <w:numPr>
          <w:numId w:val="3"/>
          <w:ilvl w:val="0"/>
        </w:numPr>
      </w:pPr>
      <w:r>
        <w:t xml:space="preserve">Tyskland skulle afstå Elsass-Lothringer</w:t>
      </w:r>
    </w:p>
    <w:p>
      <w:pPr>
        <w:pStyle w:val="Compact"/>
        <w:numPr>
          <w:numId w:val="3"/>
          <w:ilvl w:val="0"/>
        </w:numPr>
      </w:pPr>
      <w:r>
        <w:t xml:space="preserve">Ingen militær flåde</w:t>
      </w:r>
    </w:p>
    <w:p>
      <w:pPr>
        <w:pStyle w:val="Compact"/>
        <w:numPr>
          <w:numId w:val="4"/>
          <w:ilvl w:val="0"/>
        </w:numPr>
      </w:pPr>
      <w:r>
        <w:t xml:space="preserve">Belgien og Polen fik dele af Tyskland</w:t>
      </w:r>
    </w:p>
    <w:p>
      <w:pPr>
        <w:pStyle w:val="Compact"/>
        <w:numPr>
          <w:numId w:val="4"/>
          <w:ilvl w:val="0"/>
        </w:numPr>
      </w:pPr>
      <w:r>
        <w:t xml:space="preserve">Frankrig fik adgang til kulminerne i Saar</w:t>
      </w:r>
    </w:p>
    <w:p>
      <w:pPr>
        <w:pStyle w:val="Compact"/>
        <w:numPr>
          <w:numId w:val="4"/>
          <w:ilvl w:val="0"/>
        </w:numPr>
      </w:pPr>
      <w:r>
        <w:t xml:space="preserve">Tyskland mistede sine kolonier</w:t>
      </w:r>
    </w:p>
    <w:p>
      <w:pPr>
        <w:pStyle w:val="Compact"/>
        <w:numPr>
          <w:numId w:val="4"/>
          <w:ilvl w:val="0"/>
        </w:numPr>
      </w:pPr>
      <w:r>
        <w:t xml:space="preserve">Tyskland skulle betale krigsskadeerstatning</w:t>
      </w:r>
    </w:p>
    <w:p>
      <w:pPr>
        <w:pStyle w:val="Compact"/>
        <w:numPr>
          <w:numId w:val="4"/>
          <w:ilvl w:val="0"/>
        </w:numPr>
      </w:pPr>
      <w:r>
        <w:t xml:space="preserve">Tysk hær ikke større end 100.000 mand</w:t>
      </w:r>
    </w:p>
    <w:bookmarkStart w:id="24" w:name="dolkestødslegenden"/>
    <w:p>
      <w:pPr>
        <w:pStyle w:val="Heading1"/>
      </w:pPr>
      <w:r>
        <w:t xml:space="preserve">Dolkestødslegenden</w:t>
      </w:r>
    </w:p>
    <w:bookmarkEnd w:id="24"/>
    <w:p>
      <w:pPr>
        <w:pStyle w:val="Compact"/>
      </w:pPr>
      <w:r>
        <w:t xml:space="preserve">Efter Versailles-freden opstod der en myte om at hjemmefronten, her jøder og socialdemokrater, havde givet op og dolket frontsoldaterne i ryggen.</w:t>
      </w:r>
    </w:p>
    <w:p>
      <w:pPr>
        <w:pStyle w:val="Compact"/>
      </w:pPr>
    </w:p>
    <w:bookmarkStart w:id="25" w:name="folkeforbundet"/>
    <w:p>
      <w:pPr>
        <w:pStyle w:val="Heading1"/>
      </w:pPr>
      <w:r>
        <w:t xml:space="preserve">Folkeforbundet:</w:t>
      </w:r>
    </w:p>
    <w:bookmarkEnd w:id="25"/>
    <w:p>
      <w:pPr>
        <w:pStyle w:val="Compact"/>
        <w:numPr>
          <w:numId w:val="5"/>
          <w:ilvl w:val="0"/>
        </w:numPr>
      </w:pPr>
      <w:r>
        <w:t xml:space="preserve">Oprettet 1920 som modsvar til 1WW</w:t>
      </w:r>
    </w:p>
    <w:p>
      <w:pPr>
        <w:numPr>
          <w:numId w:val="5"/>
          <w:ilvl w:val="0"/>
        </w:numPr>
      </w:pPr>
      <w:r>
        <w:t xml:space="preserve">Svagheder:</w:t>
      </w:r>
    </w:p>
    <w:p>
      <w:pPr>
        <w:pStyle w:val="Compact"/>
        <w:numPr>
          <w:numId w:val="6"/>
          <w:ilvl w:val="1"/>
        </w:numPr>
      </w:pPr>
      <w:r>
        <w:t xml:space="preserve">U.S.A udenfor</w:t>
      </w:r>
    </w:p>
    <w:p>
      <w:pPr>
        <w:pStyle w:val="Compact"/>
        <w:numPr>
          <w:numId w:val="6"/>
          <w:ilvl w:val="1"/>
        </w:numPr>
      </w:pPr>
      <w:r>
        <w:t xml:space="preserve">Ingen reel magt uden supermagter bag beslutninger</w:t>
      </w:r>
    </w:p>
    <w:p/>
    <w:bookmarkStart w:id="26" w:name="var-det-sikkert-at-der-ville-komme-en-krig"/>
    <w:p>
      <w:pPr>
        <w:pStyle w:val="Heading1"/>
      </w:pPr>
      <w:r>
        <w:t xml:space="preserve">Var det sikkert at der ville komme en krig?</w:t>
      </w:r>
    </w:p>
    <w:bookmarkEnd w:id="26"/>
    <w:bookmarkStart w:id="27" w:name="lektier"/>
    <w:p>
      <w:pPr>
        <w:pStyle w:val="Heading1"/>
      </w:pPr>
      <w:r>
        <w:t xml:space="preserve">Lektier</w:t>
      </w:r>
    </w:p>
    <w:bookmarkEnd w:id="27"/>
    <w:p>
      <w:pPr>
        <w:pStyle w:val="Compact"/>
      </w:pPr>
      <w:r>
        <w:t xml:space="preserve">Ingen</w:t>
      </w:r>
    </w:p>
    <w:p>
      <w:pPr>
        <w:pStyle w:val="Compact"/>
      </w:pPr>
    </w:p>
    <w:bookmarkStart w:id="28" w:name="copyright-12"/>
    <w:p>
      <w:pPr>
        <w:pStyle w:val="Heading1"/>
      </w:pPr>
      <w:r>
        <w:t xml:space="preserve">Copyright 1/2</w:t>
      </w:r>
    </w:p>
    <w:bookmarkEnd w:id="28"/>
    <w:p>
      <w:r>
        <w:t xml:space="preserve">Dette værk er licenseret under en</w:t>
      </w:r>
      <w:r>
        <w:t xml:space="preserve"> </w:t>
      </w:r>
      <w:hyperlink r:id="rId29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/>
    <w:p/>
    <w:p/>
    <w:p>
      <w:pPr>
        <w:pStyle w:val="Compact"/>
      </w:pPr>
      <w:r>
        <w:t xml:space="preserve">"</w:t>
      </w:r>
      <w:r>
        <w:t xml:space="preserve">Skulls from the killing fields</w:t>
      </w:r>
      <w:r>
        <w:t xml:space="preserve">".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bookmarkStart w:id="30" w:name="copyright-22"/>
    <w:p>
      <w:pPr>
        <w:pStyle w:val="Heading1"/>
      </w:pPr>
      <w:r>
        <w:t xml:space="preserve">Copyright 2/2</w:t>
      </w:r>
    </w:p>
    <w:bookmarkEnd w:id="30"/>
    <w:p>
      <w:pPr>
        <w:pStyle w:val="Compact"/>
      </w:pPr>
      <w:r>
        <w:t xml:space="preserve">"</w:t>
      </w:r>
      <w:r>
        <w:t xml:space="preserve">Map Europe 1923-en</w:t>
      </w:r>
      <w:r>
        <w:t xml:space="preserve">" by derivative work:</w:t>
      </w:r>
      <w:r>
        <w:t xml:space="preserve"> </w:t>
      </w:r>
      <w:r>
        <w:t xml:space="preserve">Fluteflute</w:t>
      </w:r>
      <w:r>
        <w:t xml:space="preserve"> </w:t>
      </w:r>
      <w:r>
        <w:t xml:space="preserve">(</w:t>
      </w:r>
      <w:r>
        <w:t xml:space="preserve">talk</w:t>
      </w:r>
      <w:r>
        <w:t xml:space="preserve">)</w:t>
      </w:r>
      <w:r>
        <w:t xml:space="preserve"> </w:t>
      </w:r>
      <w:r>
        <w:t xml:space="preserve">Map_Europe_1923-fr.svg</w:t>
      </w:r>
      <w:r>
        <w:t xml:space="preserve">:</w:t>
      </w:r>
      <w:r>
        <w:t xml:space="preserve"> </w:t>
      </w:r>
      <w:r>
        <w:t xml:space="preserve">Historicair</w:t>
      </w:r>
      <w:r>
        <w:t xml:space="preserve"> </w:t>
      </w:r>
      <w:r>
        <w:t xml:space="preserve">-</w:t>
      </w:r>
      <w:r>
        <w:t xml:space="preserve"> </w:t>
      </w:r>
      <w:r>
        <w:t xml:space="preserve">Map_Europe_1923-fr.svg</w:t>
      </w:r>
      <w:r>
        <w:t xml:space="preserve">. Licensed under</w:t>
      </w:r>
      <w:r>
        <w:t xml:space="preserve"> </w:t>
      </w:r>
      <w:r>
        <w:t xml:space="preserve">CC BY-SA 2.5-2.0-1.0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ac4af60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a9a55744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://creativecommons.org/licenses/by-sa/2.5/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creativecommons.org/licenses/by-sa/2.5/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