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napoleonskrigene-historie-8.klasse"/>
    <w:p>
      <w:pPr>
        <w:pStyle w:val="Heading1"/>
      </w:pPr>
      <w:r>
        <w:t xml:space="preserve">Napoleonskrigene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napoleonskrigene"/>
    <w:p>
      <w:pPr>
        <w:pStyle w:val="Heading1"/>
      </w:pPr>
      <w:r>
        <w:t xml:space="preserve">Napoleonskrigene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Den franske revolution</w:t>
      </w:r>
    </w:p>
    <w:p>
      <w:pPr>
        <w:pStyle w:val="Compact"/>
      </w:pPr>
      <w:r>
        <w:t xml:space="preserve">Danmark omkring 1800</w:t>
      </w:r>
    </w:p>
    <w:p>
      <w:pPr>
        <w:pStyle w:val="Compact"/>
      </w:pPr>
      <w:r>
        <w:t xml:space="preserve">Napoleons krigene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mål"/>
    <w:p>
      <w:pPr>
        <w:pStyle w:val="Heading2"/>
      </w:pPr>
      <w:r>
        <w:t xml:space="preserve">Mål</w:t>
      </w:r>
    </w:p>
    <w:bookmarkEnd w:id="24"/>
    <w:p>
      <w:pPr>
        <w:pStyle w:val="Compact"/>
        <w:numPr>
          <w:numId w:val="2"/>
          <w:ilvl w:val="0"/>
        </w:numPr>
      </w:pPr>
      <w:r>
        <w:t xml:space="preserve">Danmark omkring 1800</w:t>
      </w:r>
    </w:p>
    <w:p>
      <w:pPr>
        <w:pStyle w:val="Compact"/>
        <w:numPr>
          <w:numId w:val="2"/>
          <w:ilvl w:val="0"/>
        </w:numPr>
      </w:pPr>
      <w:r>
        <w:t xml:space="preserve">Baggrund for den franske revolution</w:t>
      </w:r>
    </w:p>
    <w:p>
      <w:pPr>
        <w:pStyle w:val="Compact"/>
        <w:numPr>
          <w:numId w:val="2"/>
          <w:ilvl w:val="0"/>
        </w:numPr>
      </w:pPr>
      <w:r>
        <w:t xml:space="preserve">Danmarks udenrigspolitik omkring 1800</w:t>
      </w:r>
    </w:p>
    <w:p>
      <w:pPr>
        <w:pStyle w:val="Compact"/>
        <w:numPr>
          <w:numId w:val="2"/>
          <w:ilvl w:val="0"/>
        </w:numPr>
      </w:pPr>
      <w:r>
        <w:t xml:space="preserve">Danmark i relation til England</w:t>
      </w:r>
    </w:p>
    <w:bookmarkStart w:id="25" w:name="begreber"/>
    <w:p>
      <w:pPr>
        <w:pStyle w:val="Heading2"/>
      </w:pPr>
      <w:r>
        <w:t xml:space="preserve">Begreber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Neutralitetsforbund</w:t>
      </w:r>
    </w:p>
    <w:bookmarkStart w:id="26" w:name="den-franske-revolution"/>
    <w:p>
      <w:pPr>
        <w:pStyle w:val="Heading1"/>
      </w:pPr>
      <w:r>
        <w:t xml:space="preserve">Den franske revolution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Selvstændigt:</w:t>
      </w:r>
    </w:p>
    <w:p>
      <w:pPr>
        <w:pStyle w:val="Compact"/>
        <w:numPr>
          <w:numId w:val="5"/>
          <w:ilvl w:val="1"/>
        </w:numPr>
      </w:pPr>
      <w:r>
        <w:t xml:space="preserve">Læs side 164-165 i Det historiske overblik</w:t>
      </w:r>
    </w:p>
    <w:p>
      <w:pPr>
        <w:pStyle w:val="Compact"/>
        <w:numPr>
          <w:numId w:val="4"/>
          <w:ilvl w:val="0"/>
        </w:numPr>
      </w:pPr>
      <w:r>
        <w:t xml:space="preserve">Forhold dig til følgende spørgsmål:</w:t>
      </w:r>
    </w:p>
    <w:p>
      <w:pPr>
        <w:pStyle w:val="Compact"/>
        <w:numPr>
          <w:numId w:val="6"/>
          <w:ilvl w:val="1"/>
        </w:numPr>
      </w:pPr>
      <w:r>
        <w:t xml:space="preserve">Hvad var baggrunden for revolutionen?</w:t>
      </w:r>
    </w:p>
    <w:p>
      <w:pPr>
        <w:pStyle w:val="Compact"/>
        <w:numPr>
          <w:numId w:val="6"/>
          <w:ilvl w:val="1"/>
        </w:numPr>
      </w:pPr>
      <w:r>
        <w:t xml:space="preserve">Hvilke værdier lå der bag?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Den franske revolution</w:t>
      </w:r>
    </w:p>
    <w:p>
      <w:pPr>
        <w:pStyle w:val="Compact"/>
      </w:pPr>
      <w:r>
        <w:t xml:space="preserve">Baggrund?</w:t>
      </w:r>
    </w:p>
    <w:p>
      <w:pPr>
        <w:pStyle w:val="Compact"/>
      </w:pPr>
      <w:r>
        <w:t xml:space="preserve">Værdier?</w:t>
      </w:r>
    </w:p>
    <w:bookmarkStart w:id="27" w:name="danmark-omkring-1800"/>
    <w:p>
      <w:pPr>
        <w:pStyle w:val="Heading1"/>
      </w:pPr>
      <w:r>
        <w:t xml:space="preserve">Danmark omkring 1800</w:t>
      </w:r>
    </w:p>
    <w:bookmarkEnd w:id="27"/>
    <w:p>
      <w:pPr>
        <w:pStyle w:val="Compact"/>
        <w:numPr>
          <w:numId w:val="7"/>
          <w:ilvl w:val="0"/>
        </w:numPr>
      </w:pPr>
      <w:r>
        <w:t xml:space="preserve">Danmark tjente under Napoleons krigene gode penge på at være neutral og handle med de krigsførende parter.</w:t>
      </w:r>
    </w:p>
    <w:p>
      <w:pPr>
        <w:pStyle w:val="Compact"/>
        <w:numPr>
          <w:numId w:val="7"/>
          <w:ilvl w:val="0"/>
        </w:numPr>
      </w:pPr>
      <w:r>
        <w:t xml:space="preserve">Danmark var i et væbnet neutralitets forbund med Rusland, Sverige, Preussen.</w:t>
      </w:r>
    </w:p>
    <w:p>
      <w:pPr>
        <w:pStyle w:val="Compact"/>
        <w:numPr>
          <w:numId w:val="7"/>
          <w:ilvl w:val="0"/>
        </w:numPr>
      </w:pPr>
      <w:r>
        <w:t xml:space="preserve">Danmark havde den næststørste flåde efter England</w:t>
      </w:r>
    </w:p>
    <w:bookmarkStart w:id="28" w:name="napoleons-krigene-12"/>
    <w:p>
      <w:pPr>
        <w:pStyle w:val="Heading1"/>
      </w:pPr>
      <w:r>
        <w:t xml:space="preserve">Napoleons krigene 1/2</w:t>
      </w:r>
    </w:p>
    <w:bookmarkEnd w:id="28"/>
    <w:p>
      <w:pPr>
        <w:pStyle w:val="Compact"/>
        <w:numPr>
          <w:numId w:val="8"/>
          <w:ilvl w:val="0"/>
        </w:numPr>
      </w:pPr>
      <w:r>
        <w:t xml:space="preserve">Opstod på baggrund af den franske revolution</w:t>
      </w:r>
    </w:p>
    <w:p>
      <w:pPr>
        <w:pStyle w:val="Compact"/>
        <w:numPr>
          <w:numId w:val="8"/>
          <w:ilvl w:val="0"/>
        </w:numPr>
      </w:pPr>
      <w:r>
        <w:t xml:space="preserve">Fra 1792 til 1797: Krig på kontinentet</w:t>
      </w:r>
    </w:p>
    <w:p>
      <w:pPr>
        <w:pStyle w:val="Compact"/>
        <w:numPr>
          <w:numId w:val="8"/>
          <w:ilvl w:val="0"/>
        </w:numPr>
      </w:pPr>
      <w:r>
        <w:t xml:space="preserve">Efter 1797: Kun England stadig i krig med Frankrig</w:t>
      </w:r>
    </w:p>
    <w:bookmarkStart w:id="29" w:name="napoleons-krigene-22"/>
    <w:p>
      <w:pPr>
        <w:pStyle w:val="Heading1"/>
      </w:pPr>
      <w:r>
        <w:t xml:space="preserve">Napoleons krigene 2/2</w:t>
      </w:r>
    </w:p>
    <w:bookmarkEnd w:id="29"/>
    <w:p>
      <w:pPr>
        <w:pStyle w:val="Compact"/>
      </w:pPr>
      <w:r>
        <w:t xml:space="preserve">Frankrig:</w:t>
      </w:r>
    </w:p>
    <w:p>
      <w:pPr>
        <w:pStyle w:val="Compact"/>
      </w:pPr>
      <w:r>
        <w:t xml:space="preserve">Stærk hær</w:t>
      </w:r>
    </w:p>
    <w:p>
      <w:pPr>
        <w:pStyle w:val="Compact"/>
      </w:pPr>
      <w:r>
        <w:t xml:space="preserve">Svag(ere) flåde</w:t>
      </w:r>
    </w:p>
    <w:p>
      <w:pPr>
        <w:pStyle w:val="Compact"/>
      </w:pPr>
      <w:r>
        <w:t xml:space="preserve">Undertvunget sig det</w:t>
      </w:r>
      <w:r>
        <w:t xml:space="preserve"> </w:t>
      </w:r>
      <w:r>
        <w:t xml:space="preserve"> </w:t>
      </w:r>
      <w:r>
        <w:t xml:space="preserve">kontinentale Europa</w:t>
      </w:r>
    </w:p>
    <w:p>
      <w:pPr>
        <w:pStyle w:val="Compact"/>
      </w:pPr>
      <w:r>
        <w:t xml:space="preserve">England:</w:t>
      </w:r>
    </w:p>
    <w:p>
      <w:pPr>
        <w:pStyle w:val="Compact"/>
      </w:pPr>
      <w:r>
        <w:t xml:space="preserve">Stærk flåde</w:t>
      </w:r>
    </w:p>
    <w:p>
      <w:pPr>
        <w:pStyle w:val="Compact"/>
      </w:pPr>
      <w:r>
        <w:t xml:space="preserve">Bekymret over Danmarks flåde</w:t>
      </w:r>
    </w:p>
    <w:p>
      <w:pPr>
        <w:pStyle w:val="Compact"/>
      </w:pPr>
      <w:r>
        <w:t xml:space="preserve">Interesseret i at stoppe Napoleons handel med de neutrale lande.</w:t>
      </w:r>
    </w:p>
    <w:bookmarkStart w:id="30" w:name="danmark"/>
    <w:p>
      <w:pPr>
        <w:pStyle w:val="Heading3"/>
      </w:pPr>
      <w:r>
        <w:t xml:space="preserve">Danmark:</w:t>
      </w:r>
    </w:p>
    <w:bookmarkEnd w:id="30"/>
    <w:p>
      <w:pPr>
        <w:pStyle w:val="Compact"/>
      </w:pPr>
      <w:r>
        <w:t xml:space="preserve">Balance mellem de to stormagter</w:t>
      </w:r>
    </w:p>
    <w:p>
      <w:pPr>
        <w:pStyle w:val="Compact"/>
      </w:pPr>
      <w:r>
        <w:t xml:space="preserve">Stædighed og stolthed førte til en blind støtte til Napoleon, længe efter at Napoleon reelt havde tabt.</w:t>
      </w:r>
    </w:p>
    <w:bookmarkStart w:id="32" w:name="slaget-på-reden"/>
    <w:p>
      <w:pPr>
        <w:pStyle w:val="Heading1"/>
      </w:pPr>
      <w:hyperlink r:id="rId31">
        <w:r>
          <w:rPr>
            <w:rStyle w:val="Link"/>
          </w:rPr>
          <w:t xml:space="preserve">Slaget på Reden</w:t>
        </w:r>
      </w:hyperlink>
    </w:p>
    <w:bookmarkEnd w:id="32"/>
    <w:p>
      <w:pPr>
        <w:pStyle w:val="Compact"/>
      </w:pPr>
      <w:r>
        <w:t xml:space="preserve">Ca. 12min inde i "Flådens historie: Fra Tordenskiold til Slaget på Rheden"</w:t>
      </w:r>
    </w:p>
    <w:bookmarkStart w:id="33" w:name="lektier"/>
    <w:p>
      <w:pPr>
        <w:pStyle w:val="Heading1"/>
      </w:pPr>
      <w:r>
        <w:t xml:space="preserve">Lektier</w:t>
      </w:r>
    </w:p>
    <w:bookmarkEnd w:id="33"/>
    <w:p>
      <w:pPr>
        <w:pStyle w:val="Compact"/>
      </w:pPr>
      <w:r>
        <w:t xml:space="preserve">Ingen</w:t>
      </w:r>
    </w:p>
    <w:p>
      <w:pPr>
        <w:pStyle w:val="Compact"/>
      </w:pPr>
    </w:p>
    <w:bookmarkStart w:id="34" w:name="copyright"/>
    <w:p>
      <w:pPr>
        <w:pStyle w:val="Heading1"/>
      </w:pPr>
      <w:r>
        <w:t xml:space="preserve">Copyright</w:t>
      </w:r>
    </w:p>
    <w:bookmarkEnd w:id="34"/>
    <w:p>
      <w:r>
        <w:t xml:space="preserve">© 2015</w:t>
      </w:r>
      <w:r>
        <w:t xml:space="preserve"> </w:t>
      </w:r>
      <w:hyperlink r:id="rId35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6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Eugène Delacroix - La liberté guidant le peuple</w:t>
      </w:r>
      <w:r>
        <w:t xml:space="preserve">" by</w:t>
      </w:r>
      <w:r>
        <w:t xml:space="preserve"> </w:t>
      </w:r>
      <w:r>
        <w:t xml:space="preserve">Eugène Delacroix</w:t>
      </w:r>
      <w:r>
        <w:t xml:space="preserve"> </w:t>
      </w:r>
      <w:r>
        <w:t xml:space="preserve">-</w:t>
      </w:r>
      <w:r>
        <w:t xml:space="preserve"> </w:t>
      </w:r>
      <w:r>
        <w:t xml:space="preserve">This page</w:t>
      </w:r>
      <w:r>
        <w:t xml:space="preserve"> </w:t>
      </w:r>
      <w:r>
        <w:t xml:space="preserve">from</w:t>
      </w:r>
      <w:r>
        <w:t xml:space="preserve"> </w:t>
      </w:r>
      <w:r>
        <w:t xml:space="preserve">this gallery</w:t>
      </w:r>
      <w:r>
        <w:t xml:space="preserve">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df7148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8e20fb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e82220f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5" Target="http://www.mkuv.dk" TargetMode="External" /><Relationship Type="http://schemas.openxmlformats.org/officeDocument/2006/relationships/hyperlink" Id="rId31" Target="http://www.viacfu.dantekdrift.dk/libraryweb/resultat_bw.aspx?bibID={F83BCA6A-3433-4948-A743-A0E98679607E}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5" Target="http://www.mkuv.dk" TargetMode="External" /><Relationship Type="http://schemas.openxmlformats.org/officeDocument/2006/relationships/hyperlink" Id="rId31" Target="http://www.viacfu.dantekdrift.dk/libraryweb/resultat_bw.aspx?bibID={F83BCA6A-3433-4948-A743-A0E98679607E}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